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Sales Tax &amp; Indirect Tax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Sales Tax and Indirect Tax Policy establishes the standards, procedures, and controls governing [Company Name]'s collection, remittance, and compliance with sales tax, use tax, value-added tax (VAT), goods and services tax (GST), and other transaction-based taxes across all jurisdictions where the company has tax obligations.</w:t>
      </w:r>
    </w:p>
    <w:p>
      <w:pPr>
        <w:spacing w:after="150" w:before="0"/>
        <w:jc w:val="both"/>
      </w:pPr>
      <w:r>
        <w:rPr>
          <w:rFonts w:ascii="Calibri" w:cs="Calibri" w:eastAsia="Calibri" w:hAnsi="Calibri"/>
          <w:color w:val="333333"/>
          <w:sz w:val="22"/>
          <w:szCs w:val="22"/>
        </w:rPr>
        <w:t xml:space="preserve">This policy applies to all revenue-generating transactions, taxable purchases, and other activities that trigger indirect tax obligations, across all business units, subsidiaries, and sales channels (direct, e-commerce, marketplace, wholesale, and retail).</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Correctly determine taxability of all products and services sold by [Company Name]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Collect the correct amount of tax on taxable transactions in all applicable jurisdictions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Remit collected taxes and file returns timely in all jurisdictions where obligations exist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Monitor nexus exposure across all states and countries where [Company Name] operates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Self-assess and remit use tax on taxable purchases where vendors do not charge sales tax</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exemption certificates and other documentation to support non-taxable transactions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Sales Tax</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tax imposed on the retail sale of tangible personal property and certain services, collected by the seller from the buyer.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Use Tax</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complementary tax to sales tax, imposed on the use, storage, or consumption of tangible personal property when sales tax was not collected.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Nexus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sufficient connection between a business and a state or jurisdiction that creates a tax collection obligation (physical or economic nexus).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Economic Nexus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nexus standard based on sales volume or transaction count, established by the Wayfair decision (2018).</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Exemption Certificate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Documentation from a buyer claiming an exemption from sales tax (resale, manufacturing, government, nonprofit).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Taxability Matrix</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document mapping products and services to their tax treatment (taxable, exempt, reduced rate) by jurisdiction.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VAT / GST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Value-Added Tax / Goods and Services Tax — a consumption tax applied at each stage of the supply chain in international jurisdictions.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Marketplace Facilitator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platform (Amazon, eBay, etc.) that is required to collect and remit sales tax on behalf of third-party sellers.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Streamlined Sales Tax — a multi-state initiative to simplify sales tax administration.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Reverse Charge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VAT mechanism where the buyer, rather than the seller, is responsible for accounting for VAT (common in B2B cross-border services).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Nexus Monitoring</w:t>
      </w:r>
    </w:p>
    <w:p>
      <w:pPr>
        <w:spacing w:after="150" w:before="0"/>
        <w:jc w:val="both"/>
      </w:pPr>
      <w:r>
        <w:rPr>
          <w:rFonts w:ascii="Calibri" w:cs="Calibri" w:eastAsia="Calibri" w:hAnsi="Calibri"/>
          <w:color w:val="333333"/>
          <w:sz w:val="22"/>
          <w:szCs w:val="22"/>
        </w:rPr>
        <w:t xml:space="preserve">[Company Name] shall continuously monitor its nexus footprint across all US states and international jurisdictions. Nexus can be created through: physical presence (employees, inventory, equipment), economic nexus (exceeding state-specific revenue or transaction thresholds, typically $100K revenue or 200 transactions per the Wayfair standard), affiliate or click-through nexus, marketplace presence, and trade show or temporary business activity. The Tax team shall maintain a nexus study updated at least annually.</w:t>
      </w:r>
    </w:p>
    <w:p>
      <w:pPr>
        <w:pStyle w:val="Heading2"/>
        <w:spacing w:after="150" w:before="300"/>
      </w:pPr>
      <w:r>
        <w:rPr>
          <w:rFonts w:ascii="Georgia" w:cs="Georgia" w:eastAsia="Georgia" w:hAnsi="Georgia"/>
          <w:b/>
          <w:bCs/>
          <w:color w:val="333333"/>
          <w:sz w:val="26"/>
          <w:szCs w:val="26"/>
        </w:rPr>
        <w:t xml:space="preserve">3.2 Tax Determination</w:t>
      </w:r>
    </w:p>
    <w:p>
      <w:pPr>
        <w:spacing w:after="150" w:before="0"/>
        <w:jc w:val="both"/>
      </w:pPr>
      <w:r>
        <w:rPr>
          <w:rFonts w:ascii="Calibri" w:cs="Calibri" w:eastAsia="Calibri" w:hAnsi="Calibri"/>
          <w:color w:val="333333"/>
          <w:sz w:val="22"/>
          <w:szCs w:val="22"/>
        </w:rPr>
        <w:t xml:space="preserve">The correct tax rate and taxability shall be determined for every transaction based on: the product or service sold (tax category), the ship-to or service delivery location (situs rules), the buyer's tax status (exempt vs. taxable), and any applicable exemption certificates on file. Tax determination shall be automated through [tax engine, e.g., Avalara, Vertex, Thomson Reuters ONESOURCE] integrated with the ERP and e-commerce systems.</w:t>
      </w:r>
    </w:p>
    <w:p>
      <w:pPr>
        <w:pStyle w:val="Heading2"/>
        <w:spacing w:after="150" w:before="300"/>
      </w:pPr>
      <w:r>
        <w:rPr>
          <w:rFonts w:ascii="Georgia" w:cs="Georgia" w:eastAsia="Georgia" w:hAnsi="Georgia"/>
          <w:b/>
          <w:bCs/>
          <w:color w:val="333333"/>
          <w:sz w:val="26"/>
          <w:szCs w:val="26"/>
        </w:rPr>
        <w:t xml:space="preserve">3.3 Exemption Certificate Management</w:t>
      </w:r>
    </w:p>
    <w:p>
      <w:pPr>
        <w:spacing w:after="150" w:before="0"/>
        <w:jc w:val="both"/>
      </w:pPr>
      <w:r>
        <w:rPr>
          <w:rFonts w:ascii="Calibri" w:cs="Calibri" w:eastAsia="Calibri" w:hAnsi="Calibri"/>
          <w:color w:val="333333"/>
          <w:sz w:val="22"/>
          <w:szCs w:val="22"/>
        </w:rPr>
        <w:t xml:space="preserve">[Company Name] shall collect and maintain valid exemption certificates from all customers claiming a sales tax exemption. Certificates shall be: collected before or at the time of the first tax-exempt transaction, validated for completeness (proper state form, valid reason, customer signature, expiration date), renewed before expiration (certificates without expiration dates shall be renewed every [3-5] years), and stored in [exemption certificate management system] with electronic retrieval capability.</w:t>
      </w:r>
    </w:p>
    <w:p>
      <w:pPr>
        <w:pStyle w:val="Heading2"/>
        <w:spacing w:after="150" w:before="300"/>
      </w:pPr>
      <w:r>
        <w:rPr>
          <w:rFonts w:ascii="Georgia" w:cs="Georgia" w:eastAsia="Georgia" w:hAnsi="Georgia"/>
          <w:b/>
          <w:bCs/>
          <w:color w:val="333333"/>
          <w:sz w:val="26"/>
          <w:szCs w:val="26"/>
        </w:rPr>
        <w:t xml:space="preserve">3.4 Use Tax Compliance</w:t>
      </w:r>
    </w:p>
    <w:p>
      <w:pPr>
        <w:spacing w:after="150" w:before="0"/>
        <w:jc w:val="both"/>
      </w:pPr>
      <w:r>
        <w:rPr>
          <w:rFonts w:ascii="Calibri" w:cs="Calibri" w:eastAsia="Calibri" w:hAnsi="Calibri"/>
          <w:color w:val="333333"/>
          <w:sz w:val="22"/>
          <w:szCs w:val="22"/>
        </w:rPr>
        <w:t xml:space="preserve">When [Company Name] purchases taxable goods or services and the vendor does not charge sales tax (e.g., out-of-state or online purchases), [Company Name] shall self-assess and remit use tax to the appropriate jurisdiction. AP shall flag taxable purchases without sales tax for use tax accrual. Use tax shall be remitted on the same schedule as sales tax.</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Tax Director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indirect tax compliance. Manages nexus analysis. Oversees the tax engine configuration. Manages audits.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Indirect Tax Manager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Prepares and files returns. Manages exemption certificates. Monitors rate changes. Configures the tax engine.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AR / Billing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Ensures correct tax is charged on customer invoices. Collects exemption certificates at point of sale.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AP</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Identifies taxable purchases without sales tax for use tax accrual. Validates vendor tax charges.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IT / E-Commerce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Integrates the tax engine with sales channels. Maintains address validation. Supports tax engine updates.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Sales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Collects exemption certificates from new customers. Communicates tax-related customer inquiries to Tax.</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indirect tax accruals and liability accounts. Ensures GL accuracy.</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Tax Engine Configuration</w:t>
      </w:r>
    </w:p>
    <w:p>
      <w:pPr>
        <w:spacing w:after="150" w:before="0"/>
        <w:jc w:val="both"/>
      </w:pPr>
      <w:r>
        <w:rPr>
          <w:rFonts w:ascii="Calibri" w:cs="Calibri" w:eastAsia="Calibri" w:hAnsi="Calibri"/>
          <w:color w:val="333333"/>
          <w:sz w:val="22"/>
          <w:szCs w:val="22"/>
        </w:rPr>
        <w:t xml:space="preserve">The tax engine shall be configured to: correctly classify all products and services per the taxability matrix, apply the correct tax rate based on ship-to address (using rooftop-level geocoding), recognize and apply exemption certificates, handle special tax scenarios (bundled transactions, shipping and handling, discounts), and generate audit-ready transaction detail for every taxable and exempt transaction.</w:t>
      </w:r>
    </w:p>
    <w:p>
      <w:pPr>
        <w:pStyle w:val="Heading2"/>
        <w:spacing w:after="150" w:before="300"/>
      </w:pPr>
      <w:r>
        <w:rPr>
          <w:rFonts w:ascii="Georgia" w:cs="Georgia" w:eastAsia="Georgia" w:hAnsi="Georgia"/>
          <w:b/>
          <w:bCs/>
          <w:color w:val="333333"/>
          <w:sz w:val="26"/>
          <w:szCs w:val="26"/>
        </w:rPr>
        <w:t xml:space="preserve">5.2 Return Filing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Tax engine generates the transaction detail for the filing period</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Indirect Tax Manager reconciles tax engine data to GL tax liability accounts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Returns are prepared (automated through the tax engine where supported)</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Returns are reviewed by the Tax Director for accuracy</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Payment is calculated (tax collected minus any available credits or adjustments)</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Returns filed and payments remitted by jurisdiction-specific deadlines</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Filing confirmations are retained as evidence of timely compliance</w:t>
      </w:r>
    </w:p>
    <w:p>
      <w:pPr>
        <w:pStyle w:val="Heading2"/>
        <w:spacing w:after="150" w:before="300"/>
      </w:pPr>
      <w:r>
        <w:rPr>
          <w:rFonts w:ascii="Georgia" w:cs="Georgia" w:eastAsia="Georgia" w:hAnsi="Georgia"/>
          <w:b/>
          <w:bCs/>
          <w:color w:val="333333"/>
          <w:sz w:val="26"/>
          <w:szCs w:val="26"/>
        </w:rPr>
        <w:t xml:space="preserve">5.3 Audit Management</w:t>
      </w:r>
    </w:p>
    <w:p>
      <w:pPr>
        <w:spacing w:after="150" w:before="0"/>
        <w:jc w:val="both"/>
      </w:pPr>
      <w:r>
        <w:rPr>
          <w:rFonts w:ascii="Calibri" w:cs="Calibri" w:eastAsia="Calibri" w:hAnsi="Calibri"/>
          <w:color w:val="333333"/>
          <w:sz w:val="22"/>
          <w:szCs w:val="22"/>
        </w:rPr>
        <w:t xml:space="preserve">Sales tax audits shall be managed by the Indirect Tax Manager under the Tax Director's supervision. Key audit management practices include: maintaining organized transaction records accessible by jurisdiction and period, validating exemption certificates before the audit (identify and cure missing or expired certificates proactively), providing requested data promptly and accurately, reviewing proposed assessments for technical accuracy, and negotiating settlements within delegated authority.</w:t>
      </w:r>
    </w:p>
    <w:p>
      <w:pPr>
        <w:pStyle w:val="Heading2"/>
        <w:spacing w:after="150" w:before="300"/>
      </w:pPr>
      <w:r>
        <w:rPr>
          <w:rFonts w:ascii="Georgia" w:cs="Georgia" w:eastAsia="Georgia" w:hAnsi="Georgia"/>
          <w:b/>
          <w:bCs/>
          <w:color w:val="333333"/>
          <w:sz w:val="26"/>
          <w:szCs w:val="26"/>
        </w:rPr>
        <w:t xml:space="preserve">5.4 Rate and Rule Changes</w:t>
      </w:r>
    </w:p>
    <w:p>
      <w:pPr>
        <w:spacing w:after="150" w:before="0"/>
        <w:jc w:val="both"/>
      </w:pPr>
      <w:r>
        <w:rPr>
          <w:rFonts w:ascii="Calibri" w:cs="Calibri" w:eastAsia="Calibri" w:hAnsi="Calibri"/>
          <w:color w:val="333333"/>
          <w:sz w:val="22"/>
          <w:szCs w:val="22"/>
        </w:rPr>
        <w:t xml:space="preserve">The tax engine provider is responsible for maintaining current rates and rules. However, the Indirect Tax Manager shall: verify rate updates are applied correctly (spot-check high-volume jurisdictions), monitor legislative changes that affect taxability (new taxes on digital goods, SaaS, services), update the taxability matrix when new products or services are introduced, and communicate changes to Billing and Sales teams that affect customer pricing.</w:t>
      </w:r>
    </w:p>
    <w:p>
      <w:pPr>
        <w:pStyle w:val="Heading2"/>
        <w:spacing w:after="150" w:before="300"/>
      </w:pPr>
      <w:r>
        <w:rPr>
          <w:rFonts w:ascii="Georgia" w:cs="Georgia" w:eastAsia="Georgia" w:hAnsi="Georgia"/>
          <w:b/>
          <w:bCs/>
          <w:color w:val="333333"/>
          <w:sz w:val="26"/>
          <w:szCs w:val="26"/>
        </w:rPr>
        <w:t xml:space="preserve">5.5 International VAT/GST</w:t>
      </w:r>
    </w:p>
    <w:p>
      <w:pPr>
        <w:spacing w:after="150" w:before="0"/>
        <w:jc w:val="both"/>
      </w:pPr>
      <w:r>
        <w:rPr>
          <w:rFonts w:ascii="Calibri" w:cs="Calibri" w:eastAsia="Calibri" w:hAnsi="Calibri"/>
          <w:color w:val="333333"/>
          <w:sz w:val="22"/>
          <w:szCs w:val="22"/>
        </w:rPr>
        <w:t xml:space="preserve">For international operations, [Company Name] shall: register for VAT/GST in all jurisdictions where obligations exist, apply the correct VAT/GST treatment (standard rated, zero rated, exempt, reverse charge), file periodic VAT/GST returns per local requirements, and reclaim input VAT/GST credits where entitled. International indirect tax compliance may be supported by local advisors coordinated by the Tax Director.</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Sales tax return filing</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Tax Director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Voluntary disclosure agreement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Tax Director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New state registration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Tax Director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Audit settlement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$50K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Tax Director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Audit settlement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$50K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Tax Director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Taxability determination (new product/service)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Tax Director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Tax engine vendor change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Tax Director + IT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Exemption certificate acceptance for large accounts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Tax Director</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Tax-exempt sales without a valid exemption certificate on file are not permitted. If a customer claims exemption but has not provided a certificate, the sale shall be taxed until a valid certificate is received. Retroactive exemption application requires Tax Director approval. Disputes regarding taxability of new products or services shall be escalated to the Tax Director for formal determination, with external advisor consultation if needed.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reconciliation of tax engine output to GL tax accounts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exemption certificate expiration monitoring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nexus review against economic nexus thresholds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taxability matrix review for all products and services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tax engine accuracy testing (sample transactions across jurisdictions)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Returns filed timely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Tax engine accuracy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&gt; [99.5%]</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Exemption certificate coverage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of exempt customers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Audit assessment rate (assessment ÷ sales volume audited)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&lt; [1%]</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Voluntary disclosure vs. discovery by state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proactive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Tax Compliance &amp; Planning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Revenue Recognition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Accounts Receivable &amp; Credit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Accounts Payable &amp; Disbursement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South Dakota v. Wayfair, 585 U.S. ___ (2018)</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Streamlined Sales Tax Agreement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Nexus Monitoring Checklist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Employees working in the state (including remote workers)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Inventory stored in the state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Revenue exceeding economic nexus threshold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Transaction count exceeding threshold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Owned or leased property in the state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Trade show attendance exceeding safe harbor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Affiliate or click-through relationships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Marketplace facilitator presence</w:t>
      </w:r>
    </w:p>
    <w:p>
      <w:pPr>
        <w:pStyle w:val="Heading2"/>
        <w:spacing w:after="150" w:before="300"/>
      </w:pPr>
      <w:r>
        <w:rPr>
          <w:rFonts w:ascii="Georgia" w:cs="Georgia" w:eastAsia="Georgia" w:hAnsi="Georgia"/>
          <w:b/>
          <w:bCs/>
          <w:color w:val="333333"/>
          <w:sz w:val="26"/>
          <w:szCs w:val="26"/>
        </w:rPr>
        <w:t xml:space="preserve">Appendix B — Exemption Certificate Quick Reference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Exemption Type</w:t>
            </w:r>
          </w:p>
        </w:tc>
        <w:tc>
          <w:tcPr>
            <w:tcW w:type="dxa" w:w="6160"/>
            <w:shd w:fill="0C0C0C" w:val="clear"/>
          </w:tcPr>
          <w:p>
            <w:pPr>
              <w:spacing w:after="60" w:before="60"/>
            </w:pPr>
            <w:r>
              <w:rPr>
                <w:rFonts w:ascii="Calibri" w:cs="Calibri" w:eastAsia="Calibri" w:hAnsi="Calibri"/>
                <w:b/>
                <w:bCs/>
                <w:color w:val="D4AF37"/>
                <w:sz w:val="20"/>
                <w:szCs w:val="20"/>
              </w:rPr>
              <w:t xml:space="preserve">Documentation Required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Resale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State resale certificate with reseller's sales tax permit number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Manufacturing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State-specific manufacturing exemption certificate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Government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Government entity identification and exemption letter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Nonprofit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IRS determination letter (501(c)(3)) and state exemption certificate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Agriculture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State agricultural exemption certificate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Direct pay permit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State-issued direct pay permit number</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11. Digital Goods and Services Taxation</w:t>
      </w:r>
    </w:p>
    <w:p>
      <w:pPr>
        <w:pStyle w:val="Heading2"/>
        <w:spacing w:after="150" w:before="300"/>
      </w:pPr>
      <w:r>
        <w:rPr>
          <w:rFonts w:ascii="Georgia" w:cs="Georgia" w:eastAsia="Georgia" w:hAnsi="Georgia"/>
          <w:b/>
          <w:bCs/>
          <w:color w:val="333333"/>
          <w:sz w:val="26"/>
          <w:szCs w:val="26"/>
        </w:rPr>
        <w:t xml:space="preserve">11.1 SaaS and Cloud Services</w:t>
      </w:r>
    </w:p>
    <w:p>
      <w:pPr>
        <w:spacing w:after="150" w:before="0"/>
        <w:jc w:val="both"/>
      </w:pPr>
      <w:r>
        <w:rPr>
          <w:rFonts w:ascii="Calibri" w:cs="Calibri" w:eastAsia="Calibri" w:hAnsi="Calibri"/>
          <w:color w:val="333333"/>
          <w:sz w:val="22"/>
          <w:szCs w:val="22"/>
        </w:rPr>
        <w:t xml:space="preserve">The taxability of SaaS, cloud computing, and digital services varies significantly by state. As of [current date], approximately [30+] states tax some form of SaaS or digital services, while others specifically exempt them. [Company Name] shall: maintain a current taxability matrix for digital products and services by state, update the tax engine configuration as states adopt new digital tax laws, monitor pending legislation that could change digital tax treatment, and document the characterization of each product/service offering for tax determination purposes.</w:t>
      </w:r>
    </w:p>
    <w:p>
      <w:pPr>
        <w:pStyle w:val="Heading2"/>
        <w:spacing w:after="150" w:before="300"/>
      </w:pPr>
      <w:r>
        <w:rPr>
          <w:rFonts w:ascii="Georgia" w:cs="Georgia" w:eastAsia="Georgia" w:hAnsi="Georgia"/>
          <w:b/>
          <w:bCs/>
          <w:color w:val="333333"/>
          <w:sz w:val="26"/>
          <w:szCs w:val="26"/>
        </w:rPr>
        <w:t xml:space="preserve">11.2 Digital Advertising and Data Services</w:t>
      </w:r>
    </w:p>
    <w:p>
      <w:pPr>
        <w:spacing w:after="150" w:before="0"/>
        <w:jc w:val="both"/>
      </w:pPr>
      <w:r>
        <w:rPr>
          <w:rFonts w:ascii="Calibri" w:cs="Calibri" w:eastAsia="Calibri" w:hAnsi="Calibri"/>
          <w:color w:val="333333"/>
          <w:sz w:val="22"/>
          <w:szCs w:val="22"/>
        </w:rPr>
        <w:t xml:space="preserve">Several states and countries are enacting or considering taxes on digital advertising revenue, data collection, and data processing services. [Company Name] shall monitor: Maryland-style digital advertising taxes, state data tax proposals, international digital services taxes (DSTs), and the OECD Pillar One reallocation of taxing rights. The Tax Director shall assess exposure as new laws are enacted.</w:t>
      </w:r>
    </w:p>
    <w:p>
      <w:pPr>
        <w:pStyle w:val="Heading2"/>
        <w:spacing w:after="150" w:before="300"/>
      </w:pPr>
      <w:r>
        <w:rPr>
          <w:rFonts w:ascii="Georgia" w:cs="Georgia" w:eastAsia="Georgia" w:hAnsi="Georgia"/>
          <w:b/>
          <w:bCs/>
          <w:color w:val="333333"/>
          <w:sz w:val="26"/>
          <w:szCs w:val="26"/>
        </w:rPr>
        <w:t xml:space="preserve">11.3 Marketplace Facilitator Laws</w:t>
      </w:r>
    </w:p>
    <w:p>
      <w:pPr>
        <w:spacing w:after="150" w:before="0"/>
        <w:jc w:val="both"/>
      </w:pPr>
      <w:r>
        <w:rPr>
          <w:rFonts w:ascii="Calibri" w:cs="Calibri" w:eastAsia="Calibri" w:hAnsi="Calibri"/>
          <w:color w:val="333333"/>
          <w:sz w:val="22"/>
          <w:szCs w:val="22"/>
        </w:rPr>
        <w:t xml:space="preserve">When [Company Name] sells through marketplace facilitators (Amazon, Shopify, etc.), the marketplace is generally responsible for collecting and remitting sales tax. However, [Company Name] shall: verify that marketplace facilitators are collecting tax correctly, reconcile marketplace tax collections to expected amounts, maintain records of marketplace sales for audit defense, and register in states where marketplace facilitator rules do not cover all transaction types.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12. Indirect Tax Technology Optimization</w:t>
      </w:r>
    </w:p>
    <w:p>
      <w:pPr>
        <w:pStyle w:val="Heading2"/>
        <w:spacing w:after="150" w:before="300"/>
      </w:pPr>
      <w:r>
        <w:rPr>
          <w:rFonts w:ascii="Georgia" w:cs="Georgia" w:eastAsia="Georgia" w:hAnsi="Georgia"/>
          <w:b/>
          <w:bCs/>
          <w:color w:val="333333"/>
          <w:sz w:val="26"/>
          <w:szCs w:val="26"/>
        </w:rPr>
        <w:t xml:space="preserve">12.1 Tax Engine Performance</w:t>
      </w:r>
    </w:p>
    <w:p>
      <w:pPr>
        <w:spacing w:after="150" w:before="0"/>
        <w:jc w:val="both"/>
      </w:pPr>
      <w:r>
        <w:rPr>
          <w:rFonts w:ascii="Calibri" w:cs="Calibri" w:eastAsia="Calibri" w:hAnsi="Calibri"/>
          <w:color w:val="333333"/>
          <w:sz w:val="22"/>
          <w:szCs w:val="22"/>
        </w:rPr>
        <w:t xml:space="preserve">The tax engine shall be monitored for performance and accuracy: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Transaction processing speed: tax calculation should add &lt; [200ms] to each transaction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Accuracy rate: verified through monthly sample testing across jurisdictions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Rate update currency: verified against state rate change announcements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Product taxability configuration: reviewed when new products/services are introduced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Address validation quality: geocoding accuracy for rooftop-level rate determination</w:t>
      </w:r>
    </w:p>
    <w:p>
      <w:pPr>
        <w:pStyle w:val="Heading2"/>
        <w:spacing w:after="150" w:before="300"/>
      </w:pPr>
      <w:r>
        <w:rPr>
          <w:rFonts w:ascii="Georgia" w:cs="Georgia" w:eastAsia="Georgia" w:hAnsi="Georgia"/>
          <w:b/>
          <w:bCs/>
          <w:color w:val="333333"/>
          <w:sz w:val="26"/>
          <w:szCs w:val="26"/>
        </w:rPr>
        <w:t xml:space="preserve">12.2 Tax Data Analytics</w:t>
      </w:r>
    </w:p>
    <w:p>
      <w:pPr>
        <w:spacing w:after="150" w:before="0"/>
        <w:jc w:val="both"/>
      </w:pPr>
      <w:r>
        <w:rPr>
          <w:rFonts w:ascii="Calibri" w:cs="Calibri" w:eastAsia="Calibri" w:hAnsi="Calibri"/>
          <w:color w:val="333333"/>
          <w:sz w:val="22"/>
          <w:szCs w:val="22"/>
        </w:rPr>
        <w:t xml:space="preserve">[Company Name] shall use tax data analytics to: identify transactions where tax was incorrectly charged or not charged, detect patterns suggesting systematic configuration errors, identify exemption certificate gaps before audit, analyze tax refund opportunities from overpayments, and benchmark effective tax rates by jurisdiction against expected rates.</w:t>
      </w:r>
    </w:p>
    <w:p>
      <w:pPr>
        <w:pStyle w:val="Heading2"/>
        <w:spacing w:after="150" w:before="300"/>
      </w:pPr>
      <w:r>
        <w:rPr>
          <w:rFonts w:ascii="Georgia" w:cs="Georgia" w:eastAsia="Georgia" w:hAnsi="Georgia"/>
          <w:b/>
          <w:bCs/>
          <w:color w:val="333333"/>
          <w:sz w:val="26"/>
          <w:szCs w:val="26"/>
        </w:rPr>
        <w:t xml:space="preserve">12.3 E-Invoicing Compliance</w:t>
      </w:r>
    </w:p>
    <w:p>
      <w:pPr>
        <w:spacing w:after="150" w:before="0"/>
        <w:jc w:val="both"/>
      </w:pPr>
      <w:r>
        <w:rPr>
          <w:rFonts w:ascii="Calibri" w:cs="Calibri" w:eastAsia="Calibri" w:hAnsi="Calibri"/>
          <w:color w:val="333333"/>
          <w:sz w:val="22"/>
          <w:szCs w:val="22"/>
        </w:rPr>
        <w:t xml:space="preserve">Many countries are mandating electronic invoicing with real-time or near-real-time tax reporting to tax authorities (e.g., Mexico CFDI, Brazil NFe, Italy SDI, India e-Invoice). [Company Name] shall comply with e-invoicing mandates in all applicable jurisdictions by: implementing the required format and transmission protocols, integrating e-invoicing with the ERP billing process, validating e-invoice data before transmission, and maintaining e-invoice records per local retention requirements.</w:t>
      </w:r>
    </w:p>
    <w:p>
      <w:pPr>
        <w:pStyle w:val="Heading2"/>
        <w:spacing w:after="150" w:before="300"/>
      </w:pPr>
      <w:r>
        <w:rPr>
          <w:rFonts w:ascii="Georgia" w:cs="Georgia" w:eastAsia="Georgia" w:hAnsi="Georgia"/>
          <w:b/>
          <w:bCs/>
          <w:color w:val="333333"/>
          <w:sz w:val="26"/>
          <w:szCs w:val="26"/>
        </w:rPr>
        <w:t xml:space="preserve">12.4 Cross-Border Transaction Tax</w:t>
      </w:r>
    </w:p>
    <w:p>
      <w:pPr>
        <w:spacing w:after="150" w:before="0"/>
        <w:jc w:val="both"/>
      </w:pPr>
      <w:r>
        <w:rPr>
          <w:rFonts w:ascii="Calibri" w:cs="Calibri" w:eastAsia="Calibri" w:hAnsi="Calibri"/>
          <w:color w:val="333333"/>
          <w:sz w:val="22"/>
          <w:szCs w:val="22"/>
        </w:rPr>
        <w:t xml:space="preserve">Cross-border sales of goods and services involve complex tax considerations: customs duties and import VAT on physical goods, place-of-supply rules for services (determining which country's VAT applies), reverse charge mechanism for B2B cross-border services, and low-value goods import VAT schemes. The Tax Director shall ensure that international transaction taxes are correctly applied through the tax engine or manual processes.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Sales Tax &amp; Indirect Tax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2026-07-13T07:38:24.526Z</dcterms:created>
  <dcterms:modified xsi:type="dcterms:W3CDTF">2026-07-13T07:38:24.526Z</dcterms:modified>
</cp:coreProperties>
</file>

<file path=docProps/custom.xml><?xml version="1.0" encoding="utf-8"?>
<Properties xmlns="http://schemas.openxmlformats.org/officeDocument/2006/custom-properties" xmlns:vt="http://schemas.openxmlformats.org/officeDocument/2006/docPropsVTypes"/>
</file>