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Tax Compliance &amp; Planning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Tax Compliance and Planning Policy establishes the standards, procedures, and controls governing [Company Name]'s tax compliance obligations and tax planning activities. The policy ensures timely and accurate filing of all tax returns, proper calculation of tax provisions, and responsible tax planning that complies with applicable laws while optimizing the company's effective tax rate.</w:t>
      </w:r>
    </w:p>
    <w:p>
      <w:pPr>
        <w:spacing w:after="150" w:before="0"/>
        <w:jc w:val="both"/>
      </w:pPr>
      <w:r>
        <w:rPr>
          <w:rFonts w:ascii="Calibri" w:cs="Calibri" w:eastAsia="Calibri" w:hAnsi="Calibri"/>
          <w:color w:val="333333"/>
          <w:sz w:val="22"/>
          <w:szCs w:val="22"/>
        </w:rPr>
        <w:t xml:space="preserve">This policy applies to all federal, state, local, and international tax obligations of [Company Name] and its consolidated subsidiaries, including income taxes, employment taxes, sales and use taxes, property taxes, and other taxes and regulatory fees.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File all tax returns accurately and timely across all jurisdictions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Calculate the quarterly and annual income tax provision in compliance with ASC 740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effective tax rate within the target range through responsible tax planning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Minimize tax audit risk through proper documentation and supportable positions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compliance with transfer pricing regulations across all international operations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Monitor legislative and regulatory changes that affect tax obligations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ASC 740</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Accounting Standards Codification Topic 740, Income Taxes — governs the accounting for income taxes in financial statements.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Effective Tax Rate (ETR)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Total income tax expense divided by pre-tax income, expressed as a percentage.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Deferred Tax Asset (DTA)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tax benefit recognized for temporary differences that will result in deductible amounts in future periods.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Deferred Tax Liability (DTL)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tax obligation recognized for temporary differences that will result in taxable amounts in future periods.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Uncertain Tax Position (UTP)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tax position where the ultimate deductibility or taxability is uncertain and must be evaluated under ASC 740-10.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Valuation Allowance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reduction to a DTA when it is more likely than not that some or all of the DTA will not be realized.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 Provision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calculation of current and deferred income tax expense for financial reporting purposes.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Estimated Annual ETR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projected full-year effective tax rate used to calculate interim period income tax expense.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Schedule UTP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IRS form requiring disclosure of uncertain tax positions for large corporations.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 Credit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dollar-for-dollar reduction in tax liability (R&amp;D credit, foreign tax credit, etc.).</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Compliance Commitment</w:t>
      </w:r>
    </w:p>
    <w:p>
      <w:pPr>
        <w:spacing w:after="150" w:before="0"/>
        <w:jc w:val="both"/>
      </w:pPr>
      <w:r>
        <w:rPr>
          <w:rFonts w:ascii="Calibri" w:cs="Calibri" w:eastAsia="Calibri" w:hAnsi="Calibri"/>
          <w:color w:val="333333"/>
          <w:sz w:val="22"/>
          <w:szCs w:val="22"/>
        </w:rPr>
        <w:t xml:space="preserve">[Company Name] is committed to full compliance with all applicable tax laws and regulations. Tax returns shall be filed by the statutory due date (including extensions) in every jurisdiction where [Company Name] has a filing obligation. Tax positions taken on returns shall be technically supportable and properly documented.</w:t>
      </w:r>
    </w:p>
    <w:p>
      <w:pPr>
        <w:pStyle w:val="Heading2"/>
        <w:spacing w:after="150" w:before="300"/>
      </w:pPr>
      <w:r>
        <w:rPr>
          <w:rFonts w:ascii="Georgia" w:cs="Georgia" w:eastAsia="Georgia" w:hAnsi="Georgia"/>
          <w:b/>
          <w:bCs/>
          <w:color w:val="333333"/>
          <w:sz w:val="26"/>
          <w:szCs w:val="26"/>
        </w:rPr>
        <w:t xml:space="preserve">3.2 Tax Provision</w:t>
      </w:r>
    </w:p>
    <w:p>
      <w:pPr>
        <w:spacing w:after="150" w:before="0"/>
        <w:jc w:val="both"/>
      </w:pPr>
      <w:r>
        <w:rPr>
          <w:rFonts w:ascii="Calibri" w:cs="Calibri" w:eastAsia="Calibri" w:hAnsi="Calibri"/>
          <w:color w:val="333333"/>
          <w:sz w:val="22"/>
          <w:szCs w:val="22"/>
        </w:rPr>
        <w:t xml:space="preserve">The income tax provision shall be calculated quarterly per ASC 740 using the estimated annual effective tax rate method with discrete adjustments. The provision shall include: current federal, state, local, and foreign income tax expense, deferred tax expense or benefit from temporary differences, and the impact of uncertain tax positions, valuation allowances, and tax law changes. The Controller shall review and approve the tax provision before it is recorded.</w:t>
      </w:r>
    </w:p>
    <w:p>
      <w:pPr>
        <w:pStyle w:val="Heading2"/>
        <w:spacing w:after="150" w:before="300"/>
      </w:pPr>
      <w:r>
        <w:rPr>
          <w:rFonts w:ascii="Georgia" w:cs="Georgia" w:eastAsia="Georgia" w:hAnsi="Georgia"/>
          <w:b/>
          <w:bCs/>
          <w:color w:val="333333"/>
          <w:sz w:val="26"/>
          <w:szCs w:val="26"/>
        </w:rPr>
        <w:t xml:space="preserve">3.3 Tax Planning Philosophy</w:t>
      </w:r>
    </w:p>
    <w:p>
      <w:pPr>
        <w:spacing w:after="150" w:before="0"/>
        <w:jc w:val="both"/>
      </w:pPr>
      <w:r>
        <w:rPr>
          <w:rFonts w:ascii="Calibri" w:cs="Calibri" w:eastAsia="Calibri" w:hAnsi="Calibri"/>
          <w:color w:val="333333"/>
          <w:sz w:val="22"/>
          <w:szCs w:val="22"/>
        </w:rPr>
        <w:t xml:space="preserve">[Company Name]'s tax planning shall be: compliant with both the letter and spirit of applicable tax laws, supported by legitimate business purposes beyond tax reduction, documented with contemporaneous analysis of the legal and factual basis, proportionate to the risk — aggressive positions are not acceptable, and aligned with the company's reputation and stakeholder expectations. [Company Name] does not engage in abusive tax shelters or transactions lacking economic substance.</w:t>
      </w:r>
    </w:p>
    <w:p>
      <w:pPr>
        <w:pStyle w:val="Heading2"/>
        <w:spacing w:after="150" w:before="300"/>
      </w:pPr>
      <w:r>
        <w:rPr>
          <w:rFonts w:ascii="Georgia" w:cs="Georgia" w:eastAsia="Georgia" w:hAnsi="Georgia"/>
          <w:b/>
          <w:bCs/>
          <w:color w:val="333333"/>
          <w:sz w:val="26"/>
          <w:szCs w:val="26"/>
        </w:rPr>
        <w:t xml:space="preserve">3.4 Tax Risk Management</w:t>
      </w:r>
    </w:p>
    <w:p>
      <w:pPr>
        <w:spacing w:after="150" w:before="0"/>
        <w:jc w:val="both"/>
      </w:pPr>
      <w:r>
        <w:rPr>
          <w:rFonts w:ascii="Calibri" w:cs="Calibri" w:eastAsia="Calibri" w:hAnsi="Calibri"/>
          <w:color w:val="333333"/>
          <w:sz w:val="22"/>
          <w:szCs w:val="22"/>
        </w:rPr>
        <w:t xml:space="preserve">Tax positions shall be evaluated using the two-step process under ASC 740-10: recognition (more likely than not that the position will be sustained) and measurement (the largest amount with greater than 50% cumulative probability of being realized). Tax positions that do not meet the more-likely-than-not threshold shall not be recognized in the financial statements.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tax strategy. Approves significant tax planning positions. Reviews the ETR and tax provision. Reports tax matters to the Audit Committee.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VP Tax / Tax Director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all tax compliance and planning activities. Prepares the income tax provision. Manages tax audits. Coordinates with external tax advisors.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 Manager / Analyst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Prepares tax returns, estimated payments, and workpapers. Maintains the tax calendar. Processes tax account reconciliations.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and approves the tax provision for financial reporting. Ensures tax accounts reconcile to the GL. Coordinates with external auditors on tax.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Treasury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tax payment logistics. Provides cash flow information for estimated payment calculations.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Advises on tax controversy matters. Reviews tax provisions related to litigation or regulatory proceedings.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Tax Advisor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Prepares or reviews complex tax returns. Provides technical advice on tax planning and positions. Supports audit defense.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Tax Compliance Calendar</w:t>
      </w:r>
    </w:p>
    <w:p>
      <w:pPr>
        <w:spacing w:after="150" w:before="0"/>
        <w:jc w:val="both"/>
      </w:pPr>
      <w:r>
        <w:rPr>
          <w:rFonts w:ascii="Calibri" w:cs="Calibri" w:eastAsia="Calibri" w:hAnsi="Calibri"/>
          <w:color w:val="333333"/>
          <w:sz w:val="22"/>
          <w:szCs w:val="22"/>
        </w:rPr>
        <w:t xml:space="preserve">The Tax Director shall maintain a comprehensive tax compliance calendar covering all filing obligations: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Filing</w:t>
            </w:r>
          </w:p>
        </w:tc>
        <w:tc>
          <w:tcPr>
            <w:tcW w:type="dxa" w:w="6160"/>
            <w:shd w:fill="0C0C0C" w:val="clear"/>
          </w:tcPr>
          <w:p>
            <w:pPr>
              <w:spacing w:after="60" w:before="60"/>
            </w:pPr>
            <w:r>
              <w:rPr>
                <w:rFonts w:ascii="Calibri" w:cs="Calibri" w:eastAsia="Calibri" w:hAnsi="Calibri"/>
                <w:b/>
                <w:bCs/>
                <w:color w:val="D4AF37"/>
                <w:sz w:val="20"/>
                <w:szCs w:val="20"/>
              </w:rPr>
              <w:t xml:space="preserve">Deadline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Federal income tax return (Form 1120)</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April 15 (October 15 with extension)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State income tax returns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Varies by state (typically follows federal)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Federal estimated tax payments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April 15, June 15, September 15, December 15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State estimated tax payments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Varies by state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Employment tax returns (Form 941)</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Last day of month following quarter-end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Annual W-2 / 1099 filing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January 31</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Property tax returns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Varies by jurisdiction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Sales tax returns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Monthly, quarterly, or annually by state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Foreign tax filings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 local country deadlines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FBAR / FATCA reporting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April 15 (October 15 with extension)</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All deadlines assume extensions are filed. The Tax Director is responsible for filing all required extensions timely.</w:t>
      </w:r>
    </w:p>
    <w:p>
      <w:pPr>
        <w:pStyle w:val="Heading2"/>
        <w:spacing w:after="150" w:before="300"/>
      </w:pPr>
      <w:r>
        <w:rPr>
          <w:rFonts w:ascii="Georgia" w:cs="Georgia" w:eastAsia="Georgia" w:hAnsi="Georgia"/>
          <w:b/>
          <w:bCs/>
          <w:color w:val="333333"/>
          <w:sz w:val="26"/>
          <w:szCs w:val="26"/>
        </w:rPr>
        <w:t xml:space="preserve">5.2 Income Tax Provision Process</w:t>
      </w:r>
    </w:p>
    <w:p>
      <w:pPr>
        <w:pStyle w:val="Heading3"/>
        <w:spacing w:after="100" w:before="200"/>
      </w:pPr>
      <w:r>
        <w:rPr>
          <w:rFonts w:ascii="Georgia" w:cs="Georgia" w:eastAsia="Georgia" w:hAnsi="Georgia"/>
          <w:b/>
          <w:bCs/>
          <w:color w:val="444444"/>
          <w:sz w:val="22"/>
          <w:szCs w:val="22"/>
        </w:rPr>
        <w:t xml:space="preserve">5.2.1 Quarterly Provision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FP&amp;A provides the quarterly pre-tax income forecast by entity and jurisdiction</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Tax calculates the estimated annual ETR incorporating: statutory rates, permanent differences, tax credits, and discrete items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Tax applies the estimated annual ETR to year-to-date pre-tax income and adjusts for prior-quarter provisions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Discrete items (tax law changes, settlements, return-to-provision adjustments) are recorded in the quarter they occur</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The Controller reviews the provision calculation and approves the journal entry</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Deferred tax balances are reconciled to the schedule of temporary differences</w:t>
      </w:r>
    </w:p>
    <w:p>
      <w:pPr>
        <w:pStyle w:val="Heading3"/>
        <w:spacing w:after="100" w:before="200"/>
      </w:pPr>
      <w:r>
        <w:rPr>
          <w:rFonts w:ascii="Georgia" w:cs="Georgia" w:eastAsia="Georgia" w:hAnsi="Georgia"/>
          <w:b/>
          <w:bCs/>
          <w:color w:val="444444"/>
          <w:sz w:val="22"/>
          <w:szCs w:val="22"/>
        </w:rPr>
        <w:t xml:space="preserve">5.2.2 Annual Provision and Return-to-Provision</w:t>
      </w:r>
    </w:p>
    <w:p>
      <w:pPr>
        <w:spacing w:after="150" w:before="0"/>
        <w:jc w:val="both"/>
      </w:pPr>
      <w:r>
        <w:rPr>
          <w:rFonts w:ascii="Calibri" w:cs="Calibri" w:eastAsia="Calibri" w:hAnsi="Calibri"/>
          <w:color w:val="333333"/>
          <w:sz w:val="22"/>
          <w:szCs w:val="22"/>
        </w:rPr>
        <w:t xml:space="preserve">The annual provision shall be trued up when actual year-end results are known. The return-to-provision reconciliation compares the provision calculated during the year to the actual tax liability per the tax returns. Material differences shall be investigated and documented.</w:t>
      </w:r>
    </w:p>
    <w:p>
      <w:pPr>
        <w:pStyle w:val="Heading2"/>
        <w:spacing w:after="150" w:before="300"/>
      </w:pPr>
      <w:r>
        <w:rPr>
          <w:rFonts w:ascii="Georgia" w:cs="Georgia" w:eastAsia="Georgia" w:hAnsi="Georgia"/>
          <w:b/>
          <w:bCs/>
          <w:color w:val="333333"/>
          <w:sz w:val="26"/>
          <w:szCs w:val="26"/>
        </w:rPr>
        <w:t xml:space="preserve">5.3 Uncertain Tax Positions</w:t>
      </w:r>
    </w:p>
    <w:p>
      <w:pPr>
        <w:spacing w:after="150" w:before="0"/>
        <w:jc w:val="both"/>
      </w:pPr>
      <w:r>
        <w:rPr>
          <w:rFonts w:ascii="Calibri" w:cs="Calibri" w:eastAsia="Calibri" w:hAnsi="Calibri"/>
          <w:color w:val="333333"/>
          <w:sz w:val="22"/>
          <w:szCs w:val="22"/>
        </w:rPr>
        <w:t xml:space="preserve">The Tax Director shall maintain an inventory of all uncertain tax positions. Each position shall be evaluated for: recognition (more likely than not to be sustained), measurement (cumulative probability analysis), and disclosure requirements. The UTP inventory shall be updated quarterly and reviewed by the Controller and external auditors. Significant new UTPs require CFO approval and Audit Committee notification.</w:t>
      </w:r>
    </w:p>
    <w:p>
      <w:pPr>
        <w:pStyle w:val="Heading2"/>
        <w:spacing w:after="150" w:before="300"/>
      </w:pPr>
      <w:r>
        <w:rPr>
          <w:rFonts w:ascii="Georgia" w:cs="Georgia" w:eastAsia="Georgia" w:hAnsi="Georgia"/>
          <w:b/>
          <w:bCs/>
          <w:color w:val="333333"/>
          <w:sz w:val="26"/>
          <w:szCs w:val="26"/>
        </w:rPr>
        <w:t xml:space="preserve">5.4 Tax Audit Management</w:t>
      </w:r>
    </w:p>
    <w:p>
      <w:pPr>
        <w:spacing w:after="150" w:before="0"/>
        <w:jc w:val="both"/>
      </w:pPr>
      <w:r>
        <w:rPr>
          <w:rFonts w:ascii="Calibri" w:cs="Calibri" w:eastAsia="Calibri" w:hAnsi="Calibri"/>
          <w:color w:val="333333"/>
          <w:sz w:val="22"/>
          <w:szCs w:val="22"/>
        </w:rPr>
        <w:t xml:space="preserve">Tax audits shall be managed by the Tax Director with support from external advisors as needed. The audit management process includes: designation of a single point of contact for the examining agent, review of all information requests before response, maintenance of a privilege log for protected communications, regular status updates to the CFO, and settlement authority per the Delegation of Authority Policy.</w:t>
      </w:r>
    </w:p>
    <w:p>
      <w:pPr>
        <w:pStyle w:val="Heading2"/>
        <w:spacing w:after="150" w:before="300"/>
      </w:pPr>
      <w:r>
        <w:rPr>
          <w:rFonts w:ascii="Georgia" w:cs="Georgia" w:eastAsia="Georgia" w:hAnsi="Georgia"/>
          <w:b/>
          <w:bCs/>
          <w:color w:val="333333"/>
          <w:sz w:val="26"/>
          <w:szCs w:val="26"/>
        </w:rPr>
        <w:t xml:space="preserve">5.5 Tax Planning and Strategy</w:t>
      </w:r>
    </w:p>
    <w:p>
      <w:pPr>
        <w:spacing w:after="150" w:before="0"/>
        <w:jc w:val="both"/>
      </w:pPr>
      <w:r>
        <w:rPr>
          <w:rFonts w:ascii="Calibri" w:cs="Calibri" w:eastAsia="Calibri" w:hAnsi="Calibri"/>
          <w:color w:val="333333"/>
          <w:sz w:val="22"/>
          <w:szCs w:val="22"/>
        </w:rPr>
        <w:t xml:space="preserve">Tax planning initiatives shall be evaluated using the following framework: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Technical merit: Is the position supported by the tax code, regulations, and case law?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Business purpose: Does the transaction have a legitimate business purpose beyond tax savings?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Economic substance: Does the transaction meaningfully change the company's economic position?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Reputational risk: Would the position be defensible if publicly disclosed?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impact: What is the risk-adjusted value considering the probability of challenge?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Tax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Tax return filing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Tax Director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Extension filing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Tax Director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Estimated tax payment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Tax Director + Treasury</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New tax planning position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$500K impact</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Tax Director +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tax planning position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$500K impact</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Tax audit settlement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$250K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Tax Director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Tax audit settlement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$250K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Audit Committee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Voluntary disclosure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General Counsel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External tax advisor engagement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$50K fees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Late filing of any tax return requires immediate Tax Director notification to the CFO with a remediation plan. Penalty exposure shall be quantified and disclosed to the Controller. Requests to take tax positions below the more-likely-than-not threshold are not permitted. Tax positions with significant audit risk shall be escalated to the CFO and, for positions exceeding [threshold], to the Audit Committee.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calendar compliance tracked daily (zero late filings target)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tax account reconciliation to the GL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provision review by Controller and external auditors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UTP inventory update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ETR analysis and benchmarking against peers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tax planning strategy review with CFO</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 returns filed timely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Estimated payments — no underpayment penalties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ETR variance (provision vs. actual)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[2%]</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 audit adjustments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Minimize; zero material adjustments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 provision cycle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[X] business days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Intercompany Transactions &amp; Transfer Pricing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Sales Tax &amp; Indirect Tax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Equity Compensation Administration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Fixed Asset &amp; Capitalization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740, Income Taxes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740-10, Uncertain Tax Positions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IRC and Treasury Regulations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OECD Model Tax Convention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Tax Provision Checklist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Pre-tax income by entity and jurisdiction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Permanent differences schedule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Temporary differences and deferred tax rollforward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credits and carryforwards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Valuation allowance assessment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Uncertain tax position inventory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Rate reconciliation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Return-to-provision adjustments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preparation</w:t>
      </w:r>
    </w:p>
    <w:p>
      <w:pPr>
        <w:pStyle w:val="Heading2"/>
        <w:spacing w:after="150" w:before="300"/>
      </w:pPr>
      <w:r>
        <w:rPr>
          <w:rFonts w:ascii="Georgia" w:cs="Georgia" w:eastAsia="Georgia" w:hAnsi="Georgia"/>
          <w:b/>
          <w:bCs/>
          <w:color w:val="333333"/>
          <w:sz w:val="26"/>
          <w:szCs w:val="26"/>
        </w:rPr>
        <w:t xml:space="preserve">Appendix B — ETR Reconciliation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Item</w:t>
            </w:r>
          </w:p>
        </w:tc>
        <w:tc>
          <w:tcPr>
            <w:tcW w:type="dxa" w:w="6160"/>
            <w:shd w:fill="0C0C0C" w:val="clear"/>
          </w:tcPr>
          <w:p>
            <w:pPr>
              <w:spacing w:after="60" w:before="60"/>
            </w:pPr>
            <w:r>
              <w:rPr>
                <w:rFonts w:ascii="Calibri" w:cs="Calibri" w:eastAsia="Calibri" w:hAnsi="Calibri"/>
                <w:b/>
                <w:bCs/>
                <w:color w:val="D4AF37"/>
                <w:sz w:val="20"/>
                <w:szCs w:val="20"/>
              </w:rPr>
              <w:t xml:space="preserve">Rate %</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US federal statutory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21.0%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State income taxes, net of federal benefit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Foreign rate differential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Permanent differences (meals, fines, etc.)</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 credits (R&amp;D, foreign tax)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Stock compensation windfall/shortfall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Valuation allowance change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Other items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Effective tax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Tax Credits and Incentives</w:t>
      </w:r>
    </w:p>
    <w:p>
      <w:pPr>
        <w:pStyle w:val="Heading2"/>
        <w:spacing w:after="150" w:before="300"/>
      </w:pPr>
      <w:r>
        <w:rPr>
          <w:rFonts w:ascii="Georgia" w:cs="Georgia" w:eastAsia="Georgia" w:hAnsi="Georgia"/>
          <w:b/>
          <w:bCs/>
          <w:color w:val="333333"/>
          <w:sz w:val="26"/>
          <w:szCs w:val="26"/>
        </w:rPr>
        <w:t xml:space="preserve">11.1 Research and Development Tax Credit</w:t>
      </w:r>
    </w:p>
    <w:p>
      <w:pPr>
        <w:spacing w:after="150" w:before="0"/>
        <w:jc w:val="both"/>
      </w:pPr>
      <w:r>
        <w:rPr>
          <w:rFonts w:ascii="Calibri" w:cs="Calibri" w:eastAsia="Calibri" w:hAnsi="Calibri"/>
          <w:color w:val="333333"/>
          <w:sz w:val="22"/>
          <w:szCs w:val="22"/>
        </w:rPr>
        <w:t xml:space="preserve">[Company Name] shall evaluate eligibility for the federal R&amp;D tax credit (IRC Section 41) and state-level R&amp;D credits annually. The Tax Director shall: identify qualifying research activities across all departments (not just R&amp;D), coordinate with department heads to document qualified research expenses, prepare the credit calculation using the regular or alternative simplified method, and maintain contemporaneous documentation supporting the four-part test (technological uncertainty, process of experimentation, technological in nature, and permitted purpose).</w:t>
      </w:r>
    </w:p>
    <w:p>
      <w:pPr>
        <w:pStyle w:val="Heading2"/>
        <w:spacing w:after="150" w:before="300"/>
      </w:pPr>
      <w:r>
        <w:rPr>
          <w:rFonts w:ascii="Georgia" w:cs="Georgia" w:eastAsia="Georgia" w:hAnsi="Georgia"/>
          <w:b/>
          <w:bCs/>
          <w:color w:val="333333"/>
          <w:sz w:val="26"/>
          <w:szCs w:val="26"/>
        </w:rPr>
        <w:t xml:space="preserve">11.2 State and Local Incentives</w:t>
      </w:r>
    </w:p>
    <w:p>
      <w:pPr>
        <w:spacing w:after="150" w:before="0"/>
        <w:jc w:val="both"/>
      </w:pPr>
      <w:r>
        <w:rPr>
          <w:rFonts w:ascii="Calibri" w:cs="Calibri" w:eastAsia="Calibri" w:hAnsi="Calibri"/>
          <w:color w:val="333333"/>
          <w:sz w:val="22"/>
          <w:szCs w:val="22"/>
        </w:rPr>
        <w:t xml:space="preserve">[Company Name] shall evaluate state and local economic development incentives when making location decisions for: new facilities, expansions, relocations, and significant hiring. Incentives may include: property tax abatements, income tax credits, sales tax exemptions on equipment, workforce training grants, and infrastructure improvements. The Tax Director shall maintain an inventory of all active incentive agreements and compliance requirements.</w:t>
      </w:r>
    </w:p>
    <w:p>
      <w:pPr>
        <w:pStyle w:val="Heading2"/>
        <w:spacing w:after="150" w:before="300"/>
      </w:pPr>
      <w:r>
        <w:rPr>
          <w:rFonts w:ascii="Georgia" w:cs="Georgia" w:eastAsia="Georgia" w:hAnsi="Georgia"/>
          <w:b/>
          <w:bCs/>
          <w:color w:val="333333"/>
          <w:sz w:val="26"/>
          <w:szCs w:val="26"/>
        </w:rPr>
        <w:t xml:space="preserve">11.3 International Tax Credits</w:t>
      </w:r>
    </w:p>
    <w:p>
      <w:pPr>
        <w:spacing w:after="150" w:before="0"/>
        <w:jc w:val="both"/>
      </w:pPr>
      <w:r>
        <w:rPr>
          <w:rFonts w:ascii="Calibri" w:cs="Calibri" w:eastAsia="Calibri" w:hAnsi="Calibri"/>
          <w:color w:val="333333"/>
          <w:sz w:val="22"/>
          <w:szCs w:val="22"/>
        </w:rPr>
        <w:t xml:space="preserve">Foreign tax credits (IRC Section 901) shall be claimed for taxes paid to foreign governments to reduce US tax on foreign-source income. The foreign tax credit calculation shall consider: the Section 904 limitation (foreign-source income ceiling), separate basket categorization, FTC carryback and carryforward rules, and the interaction with GILTI, Subpart F, and FDII provisions.</w:t>
      </w:r>
    </w:p>
    <w:p>
      <w:pPr>
        <w:pStyle w:val="Heading2"/>
        <w:spacing w:after="150" w:before="300"/>
      </w:pPr>
      <w:r>
        <w:rPr>
          <w:rFonts w:ascii="Georgia" w:cs="Georgia" w:eastAsia="Georgia" w:hAnsi="Georgia"/>
          <w:b/>
          <w:bCs/>
          <w:color w:val="333333"/>
          <w:sz w:val="26"/>
          <w:szCs w:val="26"/>
        </w:rPr>
        <w:t xml:space="preserve">11.4 Employment Tax Credits</w:t>
      </w:r>
    </w:p>
    <w:p>
      <w:pPr>
        <w:spacing w:after="150" w:before="0"/>
        <w:jc w:val="both"/>
      </w:pPr>
      <w:r>
        <w:rPr>
          <w:rFonts w:ascii="Calibri" w:cs="Calibri" w:eastAsia="Calibri" w:hAnsi="Calibri"/>
          <w:color w:val="333333"/>
          <w:sz w:val="22"/>
          <w:szCs w:val="22"/>
        </w:rPr>
        <w:t xml:space="preserve">[Company Name] shall evaluate eligibility for employment-related tax credits including: Work Opportunity Tax Credit (WOTC) for qualifying new hires, Employee Retention Credit (when applicable), Empowerment Zone / Opportunity Zone credits, and Disabled Access Credit for qualifying accessibility expenditures. HR shall coordinate with Tax to identify eligible employees and expenditures.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International Tax Planning</w:t>
      </w:r>
    </w:p>
    <w:p>
      <w:pPr>
        <w:pStyle w:val="Heading2"/>
        <w:spacing w:after="150" w:before="300"/>
      </w:pPr>
      <w:r>
        <w:rPr>
          <w:rFonts w:ascii="Georgia" w:cs="Georgia" w:eastAsia="Georgia" w:hAnsi="Georgia"/>
          <w:b/>
          <w:bCs/>
          <w:color w:val="333333"/>
          <w:sz w:val="26"/>
          <w:szCs w:val="26"/>
        </w:rPr>
        <w:t xml:space="preserve">12.1 GILTI and Subpart F</w:t>
      </w:r>
    </w:p>
    <w:p>
      <w:pPr>
        <w:spacing w:after="150" w:before="0"/>
        <w:jc w:val="both"/>
      </w:pPr>
      <w:r>
        <w:rPr>
          <w:rFonts w:ascii="Calibri" w:cs="Calibri" w:eastAsia="Calibri" w:hAnsi="Calibri"/>
          <w:color w:val="333333"/>
          <w:sz w:val="22"/>
          <w:szCs w:val="22"/>
        </w:rPr>
        <w:t xml:space="preserve">The Tax Director shall monitor Global Intangible Low-Taxed Income (GILTI) and Subpart F income inclusions from controlled foreign corporations (CFCs). Planning considerations include: high-tax exclusion elections, tested income and tested loss netting, QBAI calculations and tangible asset deployment, and CFC holding structures. GILTI and Subpart F amounts shall be included in the quarterly provision calculation.</w:t>
      </w:r>
    </w:p>
    <w:p>
      <w:pPr>
        <w:pStyle w:val="Heading2"/>
        <w:spacing w:after="150" w:before="300"/>
      </w:pPr>
      <w:r>
        <w:rPr>
          <w:rFonts w:ascii="Georgia" w:cs="Georgia" w:eastAsia="Georgia" w:hAnsi="Georgia"/>
          <w:b/>
          <w:bCs/>
          <w:color w:val="333333"/>
          <w:sz w:val="26"/>
          <w:szCs w:val="26"/>
        </w:rPr>
        <w:t xml:space="preserve">12.2 FDII Deduction</w:t>
      </w:r>
    </w:p>
    <w:p>
      <w:pPr>
        <w:spacing w:after="150" w:before="0"/>
        <w:jc w:val="both"/>
      </w:pPr>
      <w:r>
        <w:rPr>
          <w:rFonts w:ascii="Calibri" w:cs="Calibri" w:eastAsia="Calibri" w:hAnsi="Calibri"/>
          <w:color w:val="333333"/>
          <w:sz w:val="22"/>
          <w:szCs w:val="22"/>
        </w:rPr>
        <w:t xml:space="preserve">[Company Name] shall calculate the Foreign-Derived Intangible Income (FDII) deduction for income derived from serving foreign markets. The FDII calculation requires: identification of foreign-derived deduction eligible income, determination of deemed intangible income (income above a routine return on tangible assets), and proper documentation of the foreign use requirement. The FDII deduction reduces the effective tax rate on qualifying foreign-derived income.</w:t>
      </w:r>
    </w:p>
    <w:p>
      <w:pPr>
        <w:pStyle w:val="Heading2"/>
        <w:spacing w:after="150" w:before="300"/>
      </w:pPr>
      <w:r>
        <w:rPr>
          <w:rFonts w:ascii="Georgia" w:cs="Georgia" w:eastAsia="Georgia" w:hAnsi="Georgia"/>
          <w:b/>
          <w:bCs/>
          <w:color w:val="333333"/>
          <w:sz w:val="26"/>
          <w:szCs w:val="26"/>
        </w:rPr>
        <w:t xml:space="preserve">12.3 Repatriation Planning</w:t>
      </w:r>
    </w:p>
    <w:p>
      <w:pPr>
        <w:spacing w:after="150" w:before="0"/>
        <w:jc w:val="both"/>
      </w:pPr>
      <w:r>
        <w:rPr>
          <w:rFonts w:ascii="Calibri" w:cs="Calibri" w:eastAsia="Calibri" w:hAnsi="Calibri"/>
          <w:color w:val="333333"/>
          <w:sz w:val="22"/>
          <w:szCs w:val="22"/>
        </w:rPr>
        <w:t xml:space="preserve">Cash repatriation from foreign subsidiaries shall be planned to: minimize withholding taxes (utilizing treaty rates), avoid Subpart F or GILTI inclusions where possible, align with working capital needs of each jurisdiction, and maintain appropriate levels of permanently reinvested earnings. Repatriation decisions shall be coordinated between Tax and Treasury.</w:t>
      </w:r>
    </w:p>
    <w:p>
      <w:pPr>
        <w:pStyle w:val="Heading2"/>
        <w:spacing w:after="150" w:before="300"/>
      </w:pPr>
      <w:r>
        <w:rPr>
          <w:rFonts w:ascii="Georgia" w:cs="Georgia" w:eastAsia="Georgia" w:hAnsi="Georgia"/>
          <w:b/>
          <w:bCs/>
          <w:color w:val="333333"/>
          <w:sz w:val="26"/>
          <w:szCs w:val="26"/>
        </w:rPr>
        <w:t xml:space="preserve">12.4 Pillar Two Impact Assessment</w:t>
      </w:r>
    </w:p>
    <w:p>
      <w:pPr>
        <w:spacing w:after="150" w:before="0"/>
        <w:jc w:val="both"/>
      </w:pPr>
      <w:r>
        <w:rPr>
          <w:rFonts w:ascii="Calibri" w:cs="Calibri" w:eastAsia="Calibri" w:hAnsi="Calibri"/>
          <w:color w:val="333333"/>
          <w:sz w:val="22"/>
          <w:szCs w:val="22"/>
        </w:rPr>
        <w:t xml:space="preserve">[Company Name] shall assess the impact of the OECD Pillar Two global minimum tax (15% effective rate) on its international tax structure. The assessment shall identify jurisdictions where the effective tax rate may fall below 15% and evaluate the top-up tax exposure under the Income Inclusion Rule (IIR) and Undertaxed Profits Rule (UTPR).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Tax Compliance &amp; Planning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2026-07-13T07:38:24.300Z</dcterms:created>
  <dcterms:modified xsi:type="dcterms:W3CDTF">2026-07-13T07:38:24.300Z</dcterms:modified>
</cp:coreProperties>
</file>

<file path=docProps/custom.xml><?xml version="1.0" encoding="utf-8"?>
<Properties xmlns="http://schemas.openxmlformats.org/officeDocument/2006/custom-properties" xmlns:vt="http://schemas.openxmlformats.org/officeDocument/2006/docPropsVTypes"/>
</file>