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Fraud Prevention &amp; Whistleblower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Fraud Prevention and Whistleblower Policy establishes the framework for preventing, detecting, investigating, and responding to fraud, misconduct, and other violations of law or company policy at [Company Name]. The policy establishes a confidential reporting mechanism (whistleblower hotline) and provides protections against retaliation for individuals who report concerns in good faith.</w:t>
      </w:r>
    </w:p>
    <w:p>
      <w:pPr>
        <w:spacing w:after="150" w:before="0"/>
        <w:jc w:val="both"/>
      </w:pPr>
      <w:r>
        <w:rPr>
          <w:rFonts w:ascii="Calibri" w:cs="Calibri" w:eastAsia="Calibri" w:hAnsi="Calibri"/>
          <w:color w:val="333333"/>
          <w:sz w:val="22"/>
          <w:szCs w:val="22"/>
        </w:rPr>
        <w:t xml:space="preserve">This policy applies to all directors, officers, employees, contractors, vendors, and other parties who conduct business with or on behalf of [Company Name]. It covers all forms of fraud, including financial statement fraud, asset misappropriation, corruption, bribery, conflicts of interest, and regulatory violations.</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Establish a zero-tolerance culture for fraud, corruption, and unethical behavior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Provide accessible, confidential reporting channels for suspected violations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Protect whistleblowers from retaliation per SOX Section 806 and the Dodd-Frank Act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timely, thorough, and objective investigation of all credible allegations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strong preventive and detective controls to minimize fraud opportunities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Comply with SEC, DOJ, and other regulatory requirements for anti-fraud programs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Fraud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 intentional act of deception for personal gain or to cause loss to another party, including financial statement manipulation, asset theft, and corruption.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Asset Misappropriation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Theft or misuse of company assets, including cash, inventory, intellectual property, and time.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Financial Statement Fraud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Intentional misstatement or omission of amounts or disclosures in financial statements to deceive users.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Corruption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abuse of entrusted power for private gain, including bribery, kickbacks, and conflicts of interest.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Whistleblower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 individual who reports suspected fraud, misconduct, or violations of law or policy in good faith.</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Retaliation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Any adverse action taken against an individual because they reported a concern or participated in an investigation.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Fraud Triangle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three conditions typically present when fraud occurs: pressure/incentive, opportunity, and rationalization.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Hotline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confidential reporting mechanism (phone, web, email) for reporting suspected violations.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Investigation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formal inquiry into alleged fraud or misconduct to determine facts and appropriate response.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Clawback</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recovery of incentive compensation from executives in the event of a financial restatement (per SOX Section 304 and Dodd-Frank).</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Zero Tolerance</w:t>
      </w:r>
    </w:p>
    <w:p>
      <w:pPr>
        <w:spacing w:after="150" w:before="0"/>
        <w:jc w:val="both"/>
      </w:pPr>
      <w:r>
        <w:rPr>
          <w:rFonts w:ascii="Calibri" w:cs="Calibri" w:eastAsia="Calibri" w:hAnsi="Calibri"/>
          <w:color w:val="333333"/>
          <w:sz w:val="22"/>
          <w:szCs w:val="22"/>
        </w:rPr>
        <w:t xml:space="preserve">[Company Name] maintains a zero-tolerance policy for fraud, corruption, and intentional violations of law or company policy. Any employee found to have committed fraud or other intentional misconduct is subject to disciplinary action up to and including immediate termination, and may face civil and criminal prosecution. Position, tenure, and past performance do not mitigate consequences for fraud.</w:t>
      </w:r>
    </w:p>
    <w:p>
      <w:pPr>
        <w:pStyle w:val="Heading2"/>
        <w:spacing w:after="150" w:before="300"/>
      </w:pPr>
      <w:r>
        <w:rPr>
          <w:rFonts w:ascii="Georgia" w:cs="Georgia" w:eastAsia="Georgia" w:hAnsi="Georgia"/>
          <w:b/>
          <w:bCs/>
          <w:color w:val="333333"/>
          <w:sz w:val="26"/>
          <w:szCs w:val="26"/>
        </w:rPr>
        <w:t xml:space="preserve">3.2 Reporting Obligation</w:t>
      </w:r>
    </w:p>
    <w:p>
      <w:pPr>
        <w:spacing w:after="150" w:before="0"/>
        <w:jc w:val="both"/>
      </w:pPr>
      <w:r>
        <w:rPr>
          <w:rFonts w:ascii="Calibri" w:cs="Calibri" w:eastAsia="Calibri" w:hAnsi="Calibri"/>
          <w:color w:val="333333"/>
          <w:sz w:val="22"/>
          <w:szCs w:val="22"/>
        </w:rPr>
        <w:t xml:space="preserve">All employees have a duty to report suspected fraud, misconduct, or violations of law or policy. Reports may be made to: the employee's direct manager (unless the manager is implicated), the Controller, CFO, or General Counsel, the Chief Compliance Officer, Internal Audit, or the confidential hotline (available 24/7, anonymous reporting permitted). Failure to report known or suspected fraud is itself a policy violation.</w:t>
      </w:r>
    </w:p>
    <w:p>
      <w:pPr>
        <w:pStyle w:val="Heading2"/>
        <w:spacing w:after="150" w:before="300"/>
      </w:pPr>
      <w:r>
        <w:rPr>
          <w:rFonts w:ascii="Georgia" w:cs="Georgia" w:eastAsia="Georgia" w:hAnsi="Georgia"/>
          <w:b/>
          <w:bCs/>
          <w:color w:val="333333"/>
          <w:sz w:val="26"/>
          <w:szCs w:val="26"/>
        </w:rPr>
        <w:t xml:space="preserve">3.3 Whistleblower Protection</w:t>
      </w:r>
    </w:p>
    <w:p>
      <w:pPr>
        <w:spacing w:after="150" w:before="0"/>
        <w:jc w:val="both"/>
      </w:pPr>
      <w:r>
        <w:rPr>
          <w:rFonts w:ascii="Calibri" w:cs="Calibri" w:eastAsia="Calibri" w:hAnsi="Calibri"/>
          <w:color w:val="333333"/>
          <w:sz w:val="22"/>
          <w:szCs w:val="22"/>
        </w:rPr>
        <w:t xml:space="preserve">[Company Name] strictly prohibits retaliation against any individual who reports suspected violations in good faith or participates in an investigation. Retaliation includes: termination, demotion, suspension, threats, harassment, discrimination, or any other adverse employment action motivated by the individual's reporting activity. Reports of retaliation shall be investigated with the same rigor as the underlying complaint. Individuals found to have retaliated are subject to disciplinary action up to and including termination.</w:t>
      </w:r>
    </w:p>
    <w:p>
      <w:pPr>
        <w:pStyle w:val="Heading2"/>
        <w:spacing w:after="150" w:before="300"/>
      </w:pPr>
      <w:r>
        <w:rPr>
          <w:rFonts w:ascii="Georgia" w:cs="Georgia" w:eastAsia="Georgia" w:hAnsi="Georgia"/>
          <w:b/>
          <w:bCs/>
          <w:color w:val="333333"/>
          <w:sz w:val="26"/>
          <w:szCs w:val="26"/>
        </w:rPr>
        <w:t xml:space="preserve">3.4 Confidentiality</w:t>
      </w:r>
    </w:p>
    <w:p>
      <w:pPr>
        <w:spacing w:after="150" w:before="0"/>
        <w:jc w:val="both"/>
      </w:pPr>
      <w:r>
        <w:rPr>
          <w:rFonts w:ascii="Calibri" w:cs="Calibri" w:eastAsia="Calibri" w:hAnsi="Calibri"/>
          <w:color w:val="333333"/>
          <w:sz w:val="22"/>
          <w:szCs w:val="22"/>
        </w:rPr>
        <w:t xml:space="preserve">Reports of suspected violations shall be treated as confidential to the extent possible consistent with the need to conduct an adequate investigation. The identity of the reporting individual shall be protected from disclosure except as required by law or as necessary for the investigation. Anonymous reports shall be accepted and investigated to the extent that sufficient information is provided.</w:t>
      </w:r>
    </w:p>
    <w:p>
      <w:pPr>
        <w:pStyle w:val="Heading2"/>
        <w:spacing w:after="150" w:before="300"/>
      </w:pPr>
      <w:r>
        <w:rPr>
          <w:rFonts w:ascii="Georgia" w:cs="Georgia" w:eastAsia="Georgia" w:hAnsi="Georgia"/>
          <w:b/>
          <w:bCs/>
          <w:color w:val="333333"/>
          <w:sz w:val="26"/>
          <w:szCs w:val="26"/>
        </w:rPr>
        <w:t xml:space="preserve">3.5 Audit Committee Oversight</w:t>
      </w:r>
    </w:p>
    <w:p>
      <w:pPr>
        <w:spacing w:after="150" w:before="0"/>
        <w:jc w:val="both"/>
      </w:pPr>
      <w:r>
        <w:rPr>
          <w:rFonts w:ascii="Calibri" w:cs="Calibri" w:eastAsia="Calibri" w:hAnsi="Calibri"/>
          <w:color w:val="333333"/>
          <w:sz w:val="22"/>
          <w:szCs w:val="22"/>
        </w:rPr>
        <w:t xml:space="preserve">The Audit Committee of the Board of Directors shall oversee the fraud prevention and whistleblower program. The Audit Committee shall: receive regular reports on hotline activity and investigation outcomes, approve the annual fraud risk assessment, review significant investigation findings, and ensure the independence and adequacy of the investigation function.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Board / Audit Committee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Oversees the anti-fraud program. Receives and reviews whistleblower reports involving senior management. Approves the fraud risk assessment.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CEO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Sets the tone at the top for ethical behavior. Ensures the anti-fraud program has adequate resources and support.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Owns the fraud prevention program for financial fraud. Ensures internal controls address fraud risks. Reports to the Audit Committee.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General Counsel / Chief Compliance Officer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the hotline and investigation process. Provides legal guidance on investigations. Ensures regulatory compliance.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Internal Audit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Conducts fraud risk assessments. Performs proactive fraud detection analytics. Investigates allegations as assigned.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HR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Supports investigation interviews. Implements disciplinary actions. Manages whistleblower protection compliance.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IT / CISO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Preserves electronic evidence. Supports forensic data collection. Investigates cyber-related fraud.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All Employees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Report suspected violations. Cooperate with investigations. Complete anti-fraud training. Comply with the code of conduct.</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Fraud Prevention</w:t>
      </w:r>
    </w:p>
    <w:p>
      <w:pPr>
        <w:pStyle w:val="Heading3"/>
        <w:spacing w:after="100" w:before="200"/>
      </w:pPr>
      <w:r>
        <w:rPr>
          <w:rFonts w:ascii="Georgia" w:cs="Georgia" w:eastAsia="Georgia" w:hAnsi="Georgia"/>
          <w:b/>
          <w:bCs/>
          <w:color w:val="444444"/>
          <w:sz w:val="22"/>
          <w:szCs w:val="22"/>
        </w:rPr>
        <w:t xml:space="preserve">5.1.1 Fraud Risk Assessment</w:t>
      </w:r>
    </w:p>
    <w:p>
      <w:pPr>
        <w:spacing w:after="150" w:before="0"/>
        <w:jc w:val="both"/>
      </w:pPr>
      <w:r>
        <w:rPr>
          <w:rFonts w:ascii="Calibri" w:cs="Calibri" w:eastAsia="Calibri" w:hAnsi="Calibri"/>
          <w:color w:val="333333"/>
          <w:sz w:val="22"/>
          <w:szCs w:val="22"/>
        </w:rPr>
        <w:t xml:space="preserve">[Company Name] shall conduct a comprehensive fraud risk assessment at least annually, led by Internal Audit with input from Finance, Legal, HR, IT, and Operations. The assessment shall identify fraud schemes relevant to the business using the fraud triangle framework, evaluate the likelihood and potential impact of each scheme, map existing preventive and detective controls to identified risks, identify control gaps requiring remediation, and document the assessment results for Audit Committee review.</w:t>
      </w:r>
    </w:p>
    <w:p>
      <w:pPr>
        <w:pStyle w:val="Heading3"/>
        <w:spacing w:after="100" w:before="200"/>
      </w:pPr>
      <w:r>
        <w:rPr>
          <w:rFonts w:ascii="Georgia" w:cs="Georgia" w:eastAsia="Georgia" w:hAnsi="Georgia"/>
          <w:b/>
          <w:bCs/>
          <w:color w:val="444444"/>
          <w:sz w:val="22"/>
          <w:szCs w:val="22"/>
        </w:rPr>
        <w:t xml:space="preserve">5.1.2 Anti-Fraud Controls</w:t>
      </w:r>
    </w:p>
    <w:p>
      <w:pPr>
        <w:spacing w:after="150" w:before="0"/>
        <w:jc w:val="both"/>
      </w:pPr>
      <w:r>
        <w:rPr>
          <w:rFonts w:ascii="Calibri" w:cs="Calibri" w:eastAsia="Calibri" w:hAnsi="Calibri"/>
          <w:color w:val="333333"/>
          <w:sz w:val="22"/>
          <w:szCs w:val="22"/>
        </w:rPr>
        <w:t xml:space="preserve">Key anti-fraud controls include: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Segregation of duties across all financial processes (per the SOD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Management review and approval controls per the Delegation of Authority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Background checks for all employees in positions of financial trust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Mandatory vacation policy for employees in sensitive financial roles (minimum [5] consecutive business days annually)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Vendor and customer due diligence procedures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Physical asset safeguards (access controls, inventory management, cash handling)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IT controls (access management, change management, data loss prevention)</w:t>
      </w:r>
    </w:p>
    <w:p>
      <w:pPr>
        <w:pStyle w:val="Heading3"/>
        <w:spacing w:after="100" w:before="200"/>
      </w:pPr>
      <w:r>
        <w:rPr>
          <w:rFonts w:ascii="Georgia" w:cs="Georgia" w:eastAsia="Georgia" w:hAnsi="Georgia"/>
          <w:b/>
          <w:bCs/>
          <w:color w:val="444444"/>
          <w:sz w:val="22"/>
          <w:szCs w:val="22"/>
        </w:rPr>
        <w:t xml:space="preserve">5.1.3 Code of Conduct</w:t>
      </w:r>
    </w:p>
    <w:p>
      <w:pPr>
        <w:spacing w:after="150" w:before="0"/>
        <w:jc w:val="both"/>
      </w:pPr>
      <w:r>
        <w:rPr>
          <w:rFonts w:ascii="Calibri" w:cs="Calibri" w:eastAsia="Calibri" w:hAnsi="Calibri"/>
          <w:color w:val="333333"/>
          <w:sz w:val="22"/>
          <w:szCs w:val="22"/>
        </w:rPr>
        <w:t xml:space="preserve">All employees shall acknowledge the Code of Conduct annually. The Code addresses: conflicts of interest, gifts and entertainment, confidential information, fair dealing, compliance with laws, and reporting obligations. New employees shall complete Code of Conduct training within [30] days of hire.</w:t>
      </w:r>
    </w:p>
    <w:p>
      <w:pPr>
        <w:pStyle w:val="Heading2"/>
        <w:spacing w:after="150" w:before="300"/>
      </w:pPr>
      <w:r>
        <w:rPr>
          <w:rFonts w:ascii="Georgia" w:cs="Georgia" w:eastAsia="Georgia" w:hAnsi="Georgia"/>
          <w:b/>
          <w:bCs/>
          <w:color w:val="333333"/>
          <w:sz w:val="26"/>
          <w:szCs w:val="26"/>
        </w:rPr>
        <w:t xml:space="preserve">5.2 Fraud Detection</w:t>
      </w:r>
    </w:p>
    <w:p>
      <w:pPr>
        <w:pStyle w:val="Heading3"/>
        <w:spacing w:after="100" w:before="200"/>
      </w:pPr>
      <w:r>
        <w:rPr>
          <w:rFonts w:ascii="Georgia" w:cs="Georgia" w:eastAsia="Georgia" w:hAnsi="Georgia"/>
          <w:b/>
          <w:bCs/>
          <w:color w:val="444444"/>
          <w:sz w:val="22"/>
          <w:szCs w:val="22"/>
        </w:rPr>
        <w:t xml:space="preserve">5.2.1 Hotline Operations</w:t>
      </w:r>
    </w:p>
    <w:p>
      <w:pPr>
        <w:spacing w:after="150" w:before="0"/>
        <w:jc w:val="both"/>
      </w:pPr>
      <w:r>
        <w:rPr>
          <w:rFonts w:ascii="Calibri" w:cs="Calibri" w:eastAsia="Calibri" w:hAnsi="Calibri"/>
          <w:color w:val="333333"/>
          <w:sz w:val="22"/>
          <w:szCs w:val="22"/>
        </w:rPr>
        <w:t xml:space="preserve">The confidential hotline shall be operated by an independent third-party provider. The hotline shall be: available 24 hours a day, 7 days a week, 365 days a year, accessible by phone and web portal, available in all languages used by [Company Name] employees, capable of receiving anonymous reports, and compliant with data privacy laws in all jurisdictions.</w:t>
      </w:r>
    </w:p>
    <w:p>
      <w:pPr>
        <w:pStyle w:val="Heading3"/>
        <w:spacing w:after="100" w:before="200"/>
      </w:pPr>
      <w:r>
        <w:rPr>
          <w:rFonts w:ascii="Georgia" w:cs="Georgia" w:eastAsia="Georgia" w:hAnsi="Georgia"/>
          <w:b/>
          <w:bCs/>
          <w:color w:val="444444"/>
          <w:sz w:val="22"/>
          <w:szCs w:val="22"/>
        </w:rPr>
        <w:t xml:space="preserve">5.2.2 Data Analytics</w:t>
      </w:r>
    </w:p>
    <w:p>
      <w:pPr>
        <w:spacing w:after="150" w:before="0"/>
        <w:jc w:val="both"/>
      </w:pPr>
      <w:r>
        <w:rPr>
          <w:rFonts w:ascii="Calibri" w:cs="Calibri" w:eastAsia="Calibri" w:hAnsi="Calibri"/>
          <w:color w:val="333333"/>
          <w:sz w:val="22"/>
          <w:szCs w:val="22"/>
        </w:rPr>
        <w:t xml:space="preserve">Internal Audit shall deploy continuous fraud detection analytics including: Benford's Law analysis on financial data, duplicate payment detection (same amount, same vendor, same date), ghost employee testing (payroll records vs. HR records, addresses matching other employees), vendor master file analysis (vendors matching employee addresses, phone numbers, or bank accounts), journal entry testing (weekend entries, round amounts, unusual account combinations), and expense report analytics (split transactions, excessive amounts, duplicate submissions).</w:t>
      </w:r>
    </w:p>
    <w:p>
      <w:pPr>
        <w:pStyle w:val="Heading2"/>
        <w:spacing w:after="150" w:before="300"/>
      </w:pPr>
      <w:r>
        <w:rPr>
          <w:rFonts w:ascii="Georgia" w:cs="Georgia" w:eastAsia="Georgia" w:hAnsi="Georgia"/>
          <w:b/>
          <w:bCs/>
          <w:color w:val="333333"/>
          <w:sz w:val="26"/>
          <w:szCs w:val="26"/>
        </w:rPr>
        <w:t xml:space="preserve">5.3 Investigation Procedures</w:t>
      </w:r>
    </w:p>
    <w:p>
      <w:pPr>
        <w:pStyle w:val="Heading3"/>
        <w:spacing w:after="100" w:before="200"/>
      </w:pPr>
      <w:r>
        <w:rPr>
          <w:rFonts w:ascii="Georgia" w:cs="Georgia" w:eastAsia="Georgia" w:hAnsi="Georgia"/>
          <w:b/>
          <w:bCs/>
          <w:color w:val="444444"/>
          <w:sz w:val="22"/>
          <w:szCs w:val="22"/>
        </w:rPr>
        <w:t xml:space="preserve">5.3.1 Report Intake and Triage</w:t>
      </w:r>
    </w:p>
    <w:p>
      <w:pPr>
        <w:spacing w:after="150" w:before="0"/>
        <w:jc w:val="both"/>
      </w:pPr>
      <w:r>
        <w:rPr>
          <w:rFonts w:ascii="Calibri" w:cs="Calibri" w:eastAsia="Calibri" w:hAnsi="Calibri"/>
          <w:color w:val="333333"/>
          <w:sz w:val="22"/>
          <w:szCs w:val="22"/>
        </w:rPr>
        <w:t xml:space="preserve">All reports shall be logged in the case management system within [24] hours of receipt. The General Counsel (or designee) shall triage each report within [48] hours, assessing: credibility of the allegation, severity and potential financial impact, individuals implicated (determines investigation team), and whether immediate action is needed (e.g., suspension, access revocation, evidence preservation).</w:t>
      </w:r>
    </w:p>
    <w:p>
      <w:pPr>
        <w:pStyle w:val="Heading3"/>
        <w:spacing w:after="100" w:before="200"/>
      </w:pPr>
      <w:r>
        <w:rPr>
          <w:rFonts w:ascii="Georgia" w:cs="Georgia" w:eastAsia="Georgia" w:hAnsi="Georgia"/>
          <w:b/>
          <w:bCs/>
          <w:color w:val="444444"/>
          <w:sz w:val="22"/>
          <w:szCs w:val="22"/>
        </w:rPr>
        <w:t xml:space="preserve">5.3.2 Investigation Conduct</w:t>
      </w:r>
    </w:p>
    <w:p>
      <w:pPr>
        <w:spacing w:after="150" w:before="0"/>
        <w:jc w:val="both"/>
      </w:pPr>
      <w:r>
        <w:rPr>
          <w:rFonts w:ascii="Calibri" w:cs="Calibri" w:eastAsia="Calibri" w:hAnsi="Calibri"/>
          <w:color w:val="333333"/>
          <w:sz w:val="22"/>
          <w:szCs w:val="22"/>
        </w:rPr>
        <w:t xml:space="preserve">Investigations shall be conducted by qualified personnel (Internal Audit, Legal, or external forensic specialists) who are independent of the individuals and departments under investigation. The investigation shall include: evidence collection and preservation (documents, electronic data, physical evidence), witness interviews conducted under attorney-client privilege where appropriate, financial analysis to quantify losses, and a written investigation report documenting findings, conclusions, and recommendations.</w:t>
      </w:r>
    </w:p>
    <w:p>
      <w:pPr>
        <w:pStyle w:val="Heading3"/>
        <w:spacing w:after="100" w:before="200"/>
      </w:pPr>
      <w:r>
        <w:rPr>
          <w:rFonts w:ascii="Georgia" w:cs="Georgia" w:eastAsia="Georgia" w:hAnsi="Georgia"/>
          <w:b/>
          <w:bCs/>
          <w:color w:val="444444"/>
          <w:sz w:val="22"/>
          <w:szCs w:val="22"/>
        </w:rPr>
        <w:t xml:space="preserve">5.3.3 Resolution and Remediation</w:t>
      </w:r>
    </w:p>
    <w:p>
      <w:pPr>
        <w:spacing w:after="150" w:before="0"/>
        <w:jc w:val="both"/>
      </w:pPr>
      <w:r>
        <w:rPr>
          <w:rFonts w:ascii="Calibri" w:cs="Calibri" w:eastAsia="Calibri" w:hAnsi="Calibri"/>
          <w:color w:val="333333"/>
          <w:sz w:val="22"/>
          <w:szCs w:val="22"/>
        </w:rPr>
        <w:t xml:space="preserve">Upon completion of the investigation, the following actions shall be taken as appropriate: disciplinary action (up to termination) for substantiated violations, referral to law enforcement for criminal conduct, recovery of losses through insurance claims, civil litigation, or restitution, remediation of control weaknesses that enabled the fraud, and communication to the Audit Committee of significant findings.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Investigation initiation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 credible reports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General Counsel</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Engagement of external forensic firm</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General Counsel</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Employee suspension during investigation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HR + General Counsel</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Investigation closure and findings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General Counsel</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Termination based on investigation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HR + Legal + Department VP</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Referral to law enforcement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General Counsel + CEO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Insurance claim for fraud loss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General Counsel</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Audit Committee notification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Senior management involvement, or losses &gt; [$X]</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General Counsel (mandatory)</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There are no exceptions to the fraud prevention and reporting requirements. Reports involving the CEO, CFO, or other senior executives shall be directed to the Audit Committee Chair. Reports involving the General Counsel shall be directed to the Audit Committee Chair or an independent board member. The Audit Committee has authority to engage independent counsel and forensic advisors directly, without management involvement.</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fraud risk assessment conducted and reported to Audit Committee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hotline activity report (number of reports, categories, status, resolution time)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fraud detection analytics execution and results review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Code of Conduct acknowledgment completion tracking (target: 100%)</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anti-fraud training completion for all employees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Background check completion rate for new hires in financial roles: 100%</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Hotline reports per 100 employees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Industry benchmark: 1.4 (NAVEX Global)</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Investigation closure within [60] days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[90%]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Substantiation rate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Track trend (not a target — higher is not better or worse)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Retaliation incidents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Zero</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Anti-fraud training completion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Code of Conduct acknowledgment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Code of Conduct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Segregation of Duties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Internal Controls &amp; SOX Compliance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Delegation of Authority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Insider Trading &amp; Securities Compliance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SOX Section 301 (Audit Committee responsibilities)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SOX Section 806 (Whistleblower protections)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Dodd-Frank Act Section 922 (SEC whistleblower program)</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FCPA and UK Bribery Act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ACFE Report to the Nations (fraud statistics and benchmarks)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Hotline Reporting Channels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Channel</w:t>
            </w:r>
          </w:p>
        </w:tc>
        <w:tc>
          <w:tcPr>
            <w:tcW w:type="dxa" w:w="6160"/>
            <w:shd w:fill="0C0C0C" w:val="clear"/>
          </w:tcPr>
          <w:p>
            <w:pPr>
              <w:spacing w:after="60" w:before="60"/>
            </w:pPr>
            <w:r>
              <w:rPr>
                <w:rFonts w:ascii="Calibri" w:cs="Calibri" w:eastAsia="Calibri" w:hAnsi="Calibri"/>
                <w:b/>
                <w:bCs/>
                <w:color w:val="D4AF37"/>
                <w:sz w:val="20"/>
                <w:szCs w:val="20"/>
              </w:rPr>
              <w:t xml:space="preserve">Details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Phone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[1-800-XXX-XXXX] (24/7, multilingual, anonymous option)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Web Portal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[URL] (24/7, anonymous option, file upload capability)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Email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[ethics@companyname.com] (not anonymous unless using external email)</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 Person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Any manager, HR, Legal, Internal Audit, or Compliance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Mail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[Confidential — Compliance Office, address]</w:t>
            </w:r>
          </w:p>
        </w:tc>
      </w:tr>
    </w:tbl>
    <w:p>
      <w:pPr>
        <w:pStyle w:val="Heading2"/>
        <w:spacing w:after="150" w:before="300"/>
      </w:pPr>
      <w:r>
        <w:rPr>
          <w:rFonts w:ascii="Georgia" w:cs="Georgia" w:eastAsia="Georgia" w:hAnsi="Georgia"/>
          <w:b/>
          <w:bCs/>
          <w:color w:val="333333"/>
          <w:sz w:val="26"/>
          <w:szCs w:val="26"/>
        </w:rPr>
        <w:t xml:space="preserve">Appendix B — Investigation Report Template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Case number and date opened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Source of allegation (hotline, management, audit, other)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Allegation summary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Individuals involved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Investigation steps performed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Evidence collected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Findings of fact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Conclusion (substantiated / unsubstantiated / inconclusive)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impact quantification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Recommendations (disciplinary, control remediation, legal action)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Audit Committee notification date (if applicable)</w:t>
      </w:r>
    </w:p>
    <w:p>
      <w:pPr>
        <w:pStyle w:val="Heading2"/>
        <w:spacing w:after="150" w:before="300"/>
      </w:pPr>
      <w:r>
        <w:rPr>
          <w:rFonts w:ascii="Georgia" w:cs="Georgia" w:eastAsia="Georgia" w:hAnsi="Georgia"/>
          <w:b/>
          <w:bCs/>
          <w:color w:val="333333"/>
          <w:sz w:val="26"/>
          <w:szCs w:val="26"/>
        </w:rPr>
        <w:t xml:space="preserve">Appendix C — Common Fraud Schemes by Category</w:t>
      </w:r>
    </w:p>
    <w:p>
      <w:pPr>
        <w:pStyle w:val="Heading3"/>
        <w:spacing w:after="100" w:before="200"/>
      </w:pPr>
      <w:r>
        <w:rPr>
          <w:rFonts w:ascii="Georgia" w:cs="Georgia" w:eastAsia="Georgia" w:hAnsi="Georgia"/>
          <w:b/>
          <w:bCs/>
          <w:color w:val="444444"/>
          <w:sz w:val="22"/>
          <w:szCs w:val="22"/>
        </w:rPr>
        <w:t xml:space="preserve">Financial Statement Fraud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Premature or fictitious revenue recognition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Understated expenses or liabilities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Improper asset valuation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Inadequate or misleading disclosures</w:t>
      </w:r>
    </w:p>
    <w:p>
      <w:pPr>
        <w:pStyle w:val="Heading3"/>
        <w:spacing w:after="100" w:before="200"/>
      </w:pPr>
      <w:r>
        <w:rPr>
          <w:rFonts w:ascii="Georgia" w:cs="Georgia" w:eastAsia="Georgia" w:hAnsi="Georgia"/>
          <w:b/>
          <w:bCs/>
          <w:color w:val="444444"/>
          <w:sz w:val="22"/>
          <w:szCs w:val="22"/>
        </w:rPr>
        <w:t xml:space="preserve">Asset Misappropriation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Billing schemes (fictitious vendors, overbilling)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Expense reimbursement fraud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Payroll fraud (ghost employees, falsified hours)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Cash larceny and skimming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Inventory theft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Intellectual property theft</w:t>
      </w:r>
    </w:p>
    <w:p>
      <w:pPr>
        <w:pStyle w:val="Heading3"/>
        <w:spacing w:after="100" w:before="200"/>
      </w:pPr>
      <w:r>
        <w:rPr>
          <w:rFonts w:ascii="Georgia" w:cs="Georgia" w:eastAsia="Georgia" w:hAnsi="Georgia"/>
          <w:b/>
          <w:bCs/>
          <w:color w:val="444444"/>
          <w:sz w:val="22"/>
          <w:szCs w:val="22"/>
        </w:rPr>
        <w:t xml:space="preserve">Corruption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Bribery of foreign officials (FCPA)</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Commercial bribery and kickbacks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Conflicts of interest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Bid rigging</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11. Anti-Bribery and Anti-Corruption</w:t>
      </w:r>
    </w:p>
    <w:p>
      <w:pPr>
        <w:pStyle w:val="Heading2"/>
        <w:spacing w:after="150" w:before="300"/>
      </w:pPr>
      <w:r>
        <w:rPr>
          <w:rFonts w:ascii="Georgia" w:cs="Georgia" w:eastAsia="Georgia" w:hAnsi="Georgia"/>
          <w:b/>
          <w:bCs/>
          <w:color w:val="333333"/>
          <w:sz w:val="26"/>
          <w:szCs w:val="26"/>
        </w:rPr>
        <w:t xml:space="preserve">11.1 FCPA Compliance</w:t>
      </w:r>
    </w:p>
    <w:p>
      <w:pPr>
        <w:spacing w:after="150" w:before="0"/>
        <w:jc w:val="both"/>
      </w:pPr>
      <w:r>
        <w:rPr>
          <w:rFonts w:ascii="Calibri" w:cs="Calibri" w:eastAsia="Calibri" w:hAnsi="Calibri"/>
          <w:color w:val="333333"/>
          <w:sz w:val="22"/>
          <w:szCs w:val="22"/>
        </w:rPr>
        <w:t xml:space="preserve">[Company Name] prohibits the payment of bribes, kickbacks, or improper payments to any person, including government officials, to obtain or retain business. This prohibition applies regardless of local customs or practices. Specifically prohibited are: payments to government officials to influence decisions, facilitation payments (even where technically legal), political contributions intended to influence government action, and charitable contributions at the request of a government official in connection with a business matter.</w:t>
      </w:r>
    </w:p>
    <w:p>
      <w:pPr>
        <w:pStyle w:val="Heading2"/>
        <w:spacing w:after="150" w:before="300"/>
      </w:pPr>
      <w:r>
        <w:rPr>
          <w:rFonts w:ascii="Georgia" w:cs="Georgia" w:eastAsia="Georgia" w:hAnsi="Georgia"/>
          <w:b/>
          <w:bCs/>
          <w:color w:val="333333"/>
          <w:sz w:val="26"/>
          <w:szCs w:val="26"/>
        </w:rPr>
        <w:t xml:space="preserve">11.2 Third-Party Due Diligence</w:t>
      </w:r>
    </w:p>
    <w:p>
      <w:pPr>
        <w:spacing w:after="150" w:before="0"/>
        <w:jc w:val="both"/>
      </w:pPr>
      <w:r>
        <w:rPr>
          <w:rFonts w:ascii="Calibri" w:cs="Calibri" w:eastAsia="Calibri" w:hAnsi="Calibri"/>
          <w:color w:val="333333"/>
          <w:sz w:val="22"/>
          <w:szCs w:val="22"/>
        </w:rPr>
        <w:t xml:space="preserve">Third parties acting on [Company Name]'s behalf (agents, consultants, distributors, customs brokers) present the highest bribery risk. Enhanced due diligence is required for third parties: operating in high-corruption-risk countries (CPI score below 50), interacting with government officials on [Company Name]'s behalf, receiving success-based or disproportionate compensation, or recommended by a government official or customer in a position to influence business.</w:t>
      </w:r>
    </w:p>
    <w:p>
      <w:pPr>
        <w:pStyle w:val="Heading2"/>
        <w:spacing w:after="150" w:before="300"/>
      </w:pPr>
      <w:r>
        <w:rPr>
          <w:rFonts w:ascii="Georgia" w:cs="Georgia" w:eastAsia="Georgia" w:hAnsi="Georgia"/>
          <w:b/>
          <w:bCs/>
          <w:color w:val="333333"/>
          <w:sz w:val="26"/>
          <w:szCs w:val="26"/>
        </w:rPr>
        <w:t xml:space="preserve">11.3 Gifts and Entertainment</w:t>
      </w:r>
    </w:p>
    <w:p>
      <w:pPr>
        <w:spacing w:after="150" w:before="0"/>
        <w:jc w:val="both"/>
      </w:pPr>
      <w:r>
        <w:rPr>
          <w:rFonts w:ascii="Calibri" w:cs="Calibri" w:eastAsia="Calibri" w:hAnsi="Calibri"/>
          <w:color w:val="333333"/>
          <w:sz w:val="22"/>
          <w:szCs w:val="22"/>
        </w:rPr>
        <w:t xml:space="preserve">Business gifts and entertainment are permitted when they are: reasonable in value (below [threshold] per recipient per year), not given with the intent to influence a business decision, consistent with local customs and laws, properly documented and approved per the expense policy, and never given to government officials without Legal pre-approval. Cash or cash-equivalent gifts are never permitted.</w:t>
      </w:r>
    </w:p>
    <w:p>
      <w:pPr>
        <w:pStyle w:val="Heading2"/>
        <w:spacing w:after="150" w:before="300"/>
      </w:pPr>
      <w:r>
        <w:rPr>
          <w:rFonts w:ascii="Georgia" w:cs="Georgia" w:eastAsia="Georgia" w:hAnsi="Georgia"/>
          <w:b/>
          <w:bCs/>
          <w:color w:val="333333"/>
          <w:sz w:val="26"/>
          <w:szCs w:val="26"/>
        </w:rPr>
        <w:t xml:space="preserve">11.4 Books and Records</w:t>
      </w:r>
    </w:p>
    <w:p>
      <w:pPr>
        <w:spacing w:after="150" w:before="0"/>
        <w:jc w:val="both"/>
      </w:pPr>
      <w:r>
        <w:rPr>
          <w:rFonts w:ascii="Calibri" w:cs="Calibri" w:eastAsia="Calibri" w:hAnsi="Calibri"/>
          <w:color w:val="333333"/>
          <w:sz w:val="22"/>
          <w:szCs w:val="22"/>
        </w:rPr>
        <w:t xml:space="preserve">The FCPA requires accurate books and records that fairly reflect all transactions. No payment shall be made that is not accurately recorded in the company's books. No off-book accounts, slush funds, or false entries are permitted under any circumstances. This requirement applies globally, regardless of whether the underlying transaction involves a government official.</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12. Conflict of Interest Management</w:t>
      </w:r>
    </w:p>
    <w:p>
      <w:pPr>
        <w:pStyle w:val="Heading2"/>
        <w:spacing w:after="150" w:before="300"/>
      </w:pPr>
      <w:r>
        <w:rPr>
          <w:rFonts w:ascii="Georgia" w:cs="Georgia" w:eastAsia="Georgia" w:hAnsi="Georgia"/>
          <w:b/>
          <w:bCs/>
          <w:color w:val="333333"/>
          <w:sz w:val="26"/>
          <w:szCs w:val="26"/>
        </w:rPr>
        <w:t xml:space="preserve">12.1 Disclosure Requirements</w:t>
      </w:r>
    </w:p>
    <w:p>
      <w:pPr>
        <w:spacing w:after="150" w:before="0"/>
        <w:jc w:val="both"/>
      </w:pPr>
      <w:r>
        <w:rPr>
          <w:rFonts w:ascii="Calibri" w:cs="Calibri" w:eastAsia="Calibri" w:hAnsi="Calibri"/>
          <w:color w:val="333333"/>
          <w:sz w:val="22"/>
          <w:szCs w:val="22"/>
        </w:rPr>
        <w:t xml:space="preserve">All employees shall disclose any actual or potential conflicts of interest through the annual Code of Conduct questionnaire. Conflicts include: financial interests in vendors, customers, or competitors, employment of family members by vendors or customers, outside business activities that could interfere with duties, and board memberships or advisory roles with entities that do business with [Company Name].</w:t>
      </w:r>
    </w:p>
    <w:p>
      <w:pPr>
        <w:pStyle w:val="Heading2"/>
        <w:spacing w:after="150" w:before="300"/>
      </w:pPr>
      <w:r>
        <w:rPr>
          <w:rFonts w:ascii="Georgia" w:cs="Georgia" w:eastAsia="Georgia" w:hAnsi="Georgia"/>
          <w:b/>
          <w:bCs/>
          <w:color w:val="333333"/>
          <w:sz w:val="26"/>
          <w:szCs w:val="26"/>
        </w:rPr>
        <w:t xml:space="preserve">12.2 Review and Mitigation</w:t>
      </w:r>
    </w:p>
    <w:p>
      <w:pPr>
        <w:spacing w:after="150" w:before="0"/>
        <w:jc w:val="both"/>
      </w:pPr>
      <w:r>
        <w:rPr>
          <w:rFonts w:ascii="Calibri" w:cs="Calibri" w:eastAsia="Calibri" w:hAnsi="Calibri"/>
          <w:color w:val="333333"/>
          <w:sz w:val="22"/>
          <w:szCs w:val="22"/>
        </w:rPr>
        <w:t xml:space="preserve">Disclosed conflicts shall be reviewed by the employee's manager and the Compliance Officer. Mitigation measures may include: recusal from related business decisions, divestiture of financial interests, reassignment of duties, enhanced monitoring, or in severe cases, prohibition of the conflicting activity. Undisclosed conflicts discovered through investigation may result in disciplinary action.</w:t>
      </w:r>
    </w:p>
    <w:p>
      <w:pPr>
        <w:pStyle w:val="Heading2"/>
        <w:spacing w:after="150" w:before="300"/>
      </w:pPr>
      <w:r>
        <w:rPr>
          <w:rFonts w:ascii="Georgia" w:cs="Georgia" w:eastAsia="Georgia" w:hAnsi="Georgia"/>
          <w:b/>
          <w:bCs/>
          <w:color w:val="333333"/>
          <w:sz w:val="26"/>
          <w:szCs w:val="26"/>
        </w:rPr>
        <w:t xml:space="preserve">12.3 Related Party Transactions</w:t>
      </w:r>
    </w:p>
    <w:p>
      <w:pPr>
        <w:spacing w:after="150" w:before="0"/>
        <w:jc w:val="both"/>
      </w:pPr>
      <w:r>
        <w:rPr>
          <w:rFonts w:ascii="Calibri" w:cs="Calibri" w:eastAsia="Calibri" w:hAnsi="Calibri"/>
          <w:color w:val="333333"/>
          <w:sz w:val="22"/>
          <w:szCs w:val="22"/>
        </w:rPr>
        <w:t xml:space="preserve">Transactions between [Company Name] and related parties (officers, directors, significant shareholders, or their family members and affiliates) require: disclosure to the Audit Committee, approval per the Related Party Transactions Policy, arm's length pricing documentation, and enhanced monitoring throughout the relationship.</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Fraud Prevention &amp; Whistleblower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2026-07-13T07:38:23.888Z</dcterms:created>
  <dcterms:modified xsi:type="dcterms:W3CDTF">2026-07-13T07:38:23.902Z</dcterms:modified>
</cp:coreProperties>
</file>

<file path=docProps/custom.xml><?xml version="1.0" encoding="utf-8"?>
<Properties xmlns="http://schemas.openxmlformats.org/officeDocument/2006/custom-properties" xmlns:vt="http://schemas.openxmlformats.org/officeDocument/2006/docPropsVTypes"/>
</file>