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Internal Controls &amp; SOX Compliance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Internal Controls and SOX Compliance Policy establishes the framework for designing, implementing, operating, monitoring, and reporting on [Company Name]'s system of internal control over financial reporting (ICFR) in compliance with the Sarbanes-Oxley Act of 2002, Section 404. The policy provides the governance structure for maintaining effective internal controls that support reliable financial reporting, compliance with laws and regulations, and effective and efficient operations.</w:t>
      </w:r>
    </w:p>
    <w:p>
      <w:pPr>
        <w:spacing w:after="150" w:before="0"/>
        <w:jc w:val="both"/>
      </w:pPr>
      <w:r>
        <w:rPr>
          <w:rFonts w:ascii="Calibri" w:cs="Calibri" w:eastAsia="Calibri" w:hAnsi="Calibri"/>
          <w:color w:val="333333"/>
          <w:sz w:val="22"/>
          <w:szCs w:val="22"/>
        </w:rPr>
        <w:t xml:space="preserve">This policy applies to all entities, business processes, and information systems that are in scope for [Company Name]'s ICFR assessment. It applies to all employees whose roles involve financial transaction initiation, processing, recording, reporting, or oversight.</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an effective system of ICFR that supports reliable financial reporting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SOX Section 404 requirements for management assessment and external auditor attestation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a risk-based approach to control identification, documentation, and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Detect and remediate control deficiencies before they become material weaknesses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Create a culture of control awareness and accountability across the organization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reasonable assurance that financial statements are free of material misstatement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ICFR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Internal Control over Financial Reporting — a process designed to provide reasonable assurance regarding the reliability of financial reporting and the preparation of financial statements.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COSO Framework</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Committee of Sponsoring Organizations of the Treadway Commission framework — the five-component framework used to evaluate ICFR.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 Activity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specific action or procedure performed to address a financial reporting risk.</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Material Weakness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deficiency, or combination of deficiencies, in ICFR such that there is a reasonable possibility that a material misstatement will not be prevented or detected on a timely basis.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Significant Deficiency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deficiency, or combination of deficiencies, that is less severe than a material weakness but merits attention by those charged with governance.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 Deficiency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condition where a control is not designed or operating effectively to prevent or detect a misstatement.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Risk Assessment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process of identifying and evaluating financial reporting risks to determine which controls are needed.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 Owner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individual responsible for ensuring a control operates effectively.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Walk-through</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procedure to confirm understanding of a process and verify that controls are in place as documented.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Remediation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correction of a control deficiency through design changes, process improvements, or additional controls.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COSO Framework Adoption</w:t>
      </w:r>
    </w:p>
    <w:p>
      <w:pPr>
        <w:spacing w:after="150" w:before="0"/>
        <w:jc w:val="both"/>
      </w:pPr>
      <w:r>
        <w:rPr>
          <w:rFonts w:ascii="Calibri" w:cs="Calibri" w:eastAsia="Calibri" w:hAnsi="Calibri"/>
          <w:color w:val="333333"/>
          <w:sz w:val="22"/>
          <w:szCs w:val="22"/>
        </w:rPr>
        <w:t xml:space="preserve">[Company Name] adopts the COSO 2013 Internal Control — Integrated Framework as the basis for designing and evaluating ICFR. The five components of internal control are: Control Environment, Risk Assessment, Control Activities, Information and Communication, and Monitoring Activities. All five components and all relevant principles must be present and functioning for the system of internal control to be effective.</w:t>
      </w:r>
    </w:p>
    <w:p>
      <w:pPr>
        <w:pStyle w:val="Heading2"/>
        <w:spacing w:after="150" w:before="300"/>
      </w:pPr>
      <w:r>
        <w:rPr>
          <w:rFonts w:ascii="Georgia" w:cs="Georgia" w:eastAsia="Georgia" w:hAnsi="Georgia"/>
          <w:b/>
          <w:bCs/>
          <w:color w:val="333333"/>
          <w:sz w:val="26"/>
          <w:szCs w:val="26"/>
        </w:rPr>
        <w:t xml:space="preserve">3.2 Tone at the Top</w:t>
      </w:r>
    </w:p>
    <w:p>
      <w:pPr>
        <w:spacing w:after="150" w:before="0"/>
        <w:jc w:val="both"/>
      </w:pPr>
      <w:r>
        <w:rPr>
          <w:rFonts w:ascii="Calibri" w:cs="Calibri" w:eastAsia="Calibri" w:hAnsi="Calibri"/>
          <w:color w:val="333333"/>
          <w:sz w:val="22"/>
          <w:szCs w:val="22"/>
        </w:rPr>
        <w:t xml:space="preserve">The Board of Directors, Audit Committee, and executive management are committed to maintaining an effective system of internal control. Management demonstrates integrity, ethical values, and commitment to competence. Control responsibilities are clearly communicated and enforced. This commitment is reflected in: the code of conduct, performance evaluations, resource allocation for the SOX program, and prompt remediation of identified deficiencies.</w:t>
      </w:r>
    </w:p>
    <w:p>
      <w:pPr>
        <w:pStyle w:val="Heading2"/>
        <w:spacing w:after="150" w:before="300"/>
      </w:pPr>
      <w:r>
        <w:rPr>
          <w:rFonts w:ascii="Georgia" w:cs="Georgia" w:eastAsia="Georgia" w:hAnsi="Georgia"/>
          <w:b/>
          <w:bCs/>
          <w:color w:val="333333"/>
          <w:sz w:val="26"/>
          <w:szCs w:val="26"/>
        </w:rPr>
        <w:t xml:space="preserve">3.3 Risk-Based Scoping</w:t>
      </w:r>
    </w:p>
    <w:p>
      <w:pPr>
        <w:spacing w:after="150" w:before="0"/>
        <w:jc w:val="both"/>
      </w:pPr>
      <w:r>
        <w:rPr>
          <w:rFonts w:ascii="Calibri" w:cs="Calibri" w:eastAsia="Calibri" w:hAnsi="Calibri"/>
          <w:color w:val="333333"/>
          <w:sz w:val="22"/>
          <w:szCs w:val="22"/>
        </w:rPr>
        <w:t xml:space="preserve">The SOX program shall use a risk-based approach to determine which accounts, disclosures, and processes are in scope. Scoping considers: financial statement line item materiality, qualitative risk factors (complexity, judgment, fraud risk), prior-year deficiencies, business changes (acquisitions, new systems, reorganizations), and quantitative thresholds.</w:t>
      </w:r>
    </w:p>
    <w:p>
      <w:pPr>
        <w:pStyle w:val="Heading2"/>
        <w:spacing w:after="150" w:before="300"/>
      </w:pPr>
      <w:r>
        <w:rPr>
          <w:rFonts w:ascii="Georgia" w:cs="Georgia" w:eastAsia="Georgia" w:hAnsi="Georgia"/>
          <w:b/>
          <w:bCs/>
          <w:color w:val="333333"/>
          <w:sz w:val="26"/>
          <w:szCs w:val="26"/>
        </w:rPr>
        <w:t xml:space="preserve">3.4 Control Documentation</w:t>
      </w:r>
    </w:p>
    <w:p>
      <w:pPr>
        <w:spacing w:after="150" w:before="0"/>
        <w:jc w:val="both"/>
      </w:pPr>
      <w:r>
        <w:rPr>
          <w:rFonts w:ascii="Calibri" w:cs="Calibri" w:eastAsia="Calibri" w:hAnsi="Calibri"/>
          <w:color w:val="333333"/>
          <w:sz w:val="22"/>
          <w:szCs w:val="22"/>
        </w:rPr>
        <w:t xml:space="preserve">All in-scope controls shall be documented in a standardized format including: control objective, control description, frequency, control owner, evidence of performance, and risk addressed. Control documentation shall be maintained in [GRC system] and updated whenever processes change. Documentation shall be sufficient for an independent reviewer to understand and evaluate the control.</w:t>
      </w:r>
    </w:p>
    <w:p>
      <w:pPr>
        <w:pStyle w:val="Heading2"/>
        <w:spacing w:after="150" w:before="300"/>
      </w:pPr>
      <w:r>
        <w:rPr>
          <w:rFonts w:ascii="Georgia" w:cs="Georgia" w:eastAsia="Georgia" w:hAnsi="Georgia"/>
          <w:b/>
          <w:bCs/>
          <w:color w:val="333333"/>
          <w:sz w:val="26"/>
          <w:szCs w:val="26"/>
        </w:rPr>
        <w:t xml:space="preserve">3.5 Management Assessment</w:t>
      </w:r>
    </w:p>
    <w:p>
      <w:pPr>
        <w:spacing w:after="150" w:before="0"/>
        <w:jc w:val="both"/>
      </w:pPr>
      <w:r>
        <w:rPr>
          <w:rFonts w:ascii="Calibri" w:cs="Calibri" w:eastAsia="Calibri" w:hAnsi="Calibri"/>
          <w:color w:val="333333"/>
          <w:sz w:val="22"/>
          <w:szCs w:val="22"/>
        </w:rPr>
        <w:t xml:space="preserve">Management shall assess the effectiveness of ICFR as of fiscal year-end. The assessment shall be based on: testing performed throughout the year, evaluation of deficiencies identified, remediation status, and overall conclusion on effectiveness. The assessment is documented in management's report on ICFR, included in the 10-K.</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Board / Audit Committee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Oversees the ICFR program. Reviews material weaknesses and significant deficiencies. Approves the SOX program scope and budget.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CEO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Certifies ICFR effectiveness under SOX Section 302/906. Sets the tone for control culture.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ICFR program. Certifies financial statements. Ensures adequate resources for SOX compliance. Reports control status to the Audit Committee.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SOX Program 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the day-to-day SOX program. Coordinates scoping, documentation, testing, and deficiency evaluation. Reports to the Controller or CFO.</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 Owners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Design and operate controls within their areas. Provide evidence of control performance. Remediate deficiencies in their controls.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Performs independent testing of ICFR. Evaluates deficiency severity. Reports findings to the Audit Committee.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External Auditor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Performs the SOX 404(b) attestation. Tests controls independently. Communicates deficiencies to management and the Audit Committee.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Maintains IT general controls (access, change management, operations). Supports automated control configuration.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Annual SOX Cycle</w:t>
      </w:r>
    </w:p>
    <w:p>
      <w:pPr>
        <w:pStyle w:val="Heading3"/>
        <w:spacing w:after="100" w:before="200"/>
      </w:pPr>
      <w:r>
        <w:rPr>
          <w:rFonts w:ascii="Georgia" w:cs="Georgia" w:eastAsia="Georgia" w:hAnsi="Georgia"/>
          <w:b/>
          <w:bCs/>
          <w:color w:val="444444"/>
          <w:sz w:val="22"/>
          <w:szCs w:val="22"/>
        </w:rPr>
        <w:t xml:space="preserve">5.1.1 Risk Assessment and Scoping (Q1)</w:t>
      </w:r>
    </w:p>
    <w:p>
      <w:pPr>
        <w:spacing w:after="150" w:before="0"/>
        <w:jc w:val="both"/>
      </w:pPr>
      <w:r>
        <w:rPr>
          <w:rFonts w:ascii="Calibri" w:cs="Calibri" w:eastAsia="Calibri" w:hAnsi="Calibri"/>
          <w:color w:val="333333"/>
          <w:sz w:val="22"/>
          <w:szCs w:val="22"/>
        </w:rPr>
        <w:t xml:space="preserve">The SOX Program Manager shall perform an annual risk assessment to determine ICFR scope: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Calculate materiality (typically 3-5% of pre-tax income or 1% of revenue, whichever is lower)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Identify significant accounts and disclosures based on materiality and risk</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Map significant accounts to business processes and sub-processes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Identify relevant assertions (existence, completeness, valuation, rights, presentation)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Determine key controls that address identified risks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Assess fraud risk factors per SAS 99</w:t>
      </w:r>
    </w:p>
    <w:p>
      <w:pPr>
        <w:pStyle w:val="Heading3"/>
        <w:spacing w:after="100" w:before="200"/>
      </w:pPr>
      <w:r>
        <w:rPr>
          <w:rFonts w:ascii="Georgia" w:cs="Georgia" w:eastAsia="Georgia" w:hAnsi="Georgia"/>
          <w:b/>
          <w:bCs/>
          <w:color w:val="444444"/>
          <w:sz w:val="22"/>
          <w:szCs w:val="22"/>
        </w:rPr>
        <w:t xml:space="preserve">5.1.2 Control Documentation Update (Q1-Q2)</w:t>
      </w:r>
    </w:p>
    <w:p>
      <w:pPr>
        <w:spacing w:after="150" w:before="0"/>
        <w:jc w:val="both"/>
      </w:pPr>
      <w:r>
        <w:rPr>
          <w:rFonts w:ascii="Calibri" w:cs="Calibri" w:eastAsia="Calibri" w:hAnsi="Calibri"/>
          <w:color w:val="333333"/>
          <w:sz w:val="22"/>
          <w:szCs w:val="22"/>
        </w:rPr>
        <w:t xml:space="preserve">Control owners shall update process narratives, flowcharts, and risk-control matrices for any changes since the prior year. Walk-throughs shall be performed for all in-scope processes to confirm that documentation reflects actual operations. New controls shall be designed for any newly identified risks.</w:t>
      </w:r>
    </w:p>
    <w:p>
      <w:pPr>
        <w:pStyle w:val="Heading3"/>
        <w:spacing w:after="100" w:before="200"/>
      </w:pPr>
      <w:r>
        <w:rPr>
          <w:rFonts w:ascii="Georgia" w:cs="Georgia" w:eastAsia="Georgia" w:hAnsi="Georgia"/>
          <w:b/>
          <w:bCs/>
          <w:color w:val="444444"/>
          <w:sz w:val="22"/>
          <w:szCs w:val="22"/>
        </w:rPr>
        <w:t xml:space="preserve">5.1.3 Interim Testing (Q2-Q3)</w:t>
      </w:r>
    </w:p>
    <w:p>
      <w:pPr>
        <w:spacing w:after="150" w:before="0"/>
        <w:jc w:val="both"/>
      </w:pPr>
      <w:r>
        <w:rPr>
          <w:rFonts w:ascii="Calibri" w:cs="Calibri" w:eastAsia="Calibri" w:hAnsi="Calibri"/>
          <w:color w:val="333333"/>
          <w:sz w:val="22"/>
          <w:szCs w:val="22"/>
        </w:rPr>
        <w:t xml:space="preserve">Internal Audit and/or the SOX team shall test controls during the interim period. Testing shall cover: design effectiveness (is the control properly designed to address the risk?) and operating effectiveness (did the control operate as designed throughout the testing period?). Sample sizes shall be based on control frequency per PCAOB guidelines.</w:t>
      </w:r>
    </w:p>
    <w:p>
      <w:pPr>
        <w:pStyle w:val="Heading3"/>
        <w:spacing w:after="100" w:before="200"/>
      </w:pPr>
      <w:r>
        <w:rPr>
          <w:rFonts w:ascii="Georgia" w:cs="Georgia" w:eastAsia="Georgia" w:hAnsi="Georgia"/>
          <w:b/>
          <w:bCs/>
          <w:color w:val="444444"/>
          <w:sz w:val="22"/>
          <w:szCs w:val="22"/>
        </w:rPr>
        <w:t xml:space="preserve">5.1.4 Remediation (Ongoing)</w:t>
      </w:r>
    </w:p>
    <w:p>
      <w:pPr>
        <w:spacing w:after="150" w:before="0"/>
        <w:jc w:val="both"/>
      </w:pPr>
      <w:r>
        <w:rPr>
          <w:rFonts w:ascii="Calibri" w:cs="Calibri" w:eastAsia="Calibri" w:hAnsi="Calibri"/>
          <w:color w:val="333333"/>
          <w:sz w:val="22"/>
          <w:szCs w:val="22"/>
        </w:rPr>
        <w:t xml:space="preserve">Control deficiencies identified during testing shall be evaluated for severity and remediated. Remediation plans shall include: root cause analysis, corrective action, responsible individual, target completion date, and evidence of remediation. Material weaknesses and significant deficiencies require Audit Committee notification.</w:t>
      </w:r>
    </w:p>
    <w:p>
      <w:pPr>
        <w:pStyle w:val="Heading3"/>
        <w:spacing w:after="100" w:before="200"/>
      </w:pPr>
      <w:r>
        <w:rPr>
          <w:rFonts w:ascii="Georgia" w:cs="Georgia" w:eastAsia="Georgia" w:hAnsi="Georgia"/>
          <w:b/>
          <w:bCs/>
          <w:color w:val="444444"/>
          <w:sz w:val="22"/>
          <w:szCs w:val="22"/>
        </w:rPr>
        <w:t xml:space="preserve">5.1.5 Year-End Testing and Assessment (Q4)</w:t>
      </w:r>
    </w:p>
    <w:p>
      <w:pPr>
        <w:spacing w:after="150" w:before="0"/>
        <w:jc w:val="both"/>
      </w:pPr>
      <w:r>
        <w:rPr>
          <w:rFonts w:ascii="Calibri" w:cs="Calibri" w:eastAsia="Calibri" w:hAnsi="Calibri"/>
          <w:color w:val="333333"/>
          <w:sz w:val="22"/>
          <w:szCs w:val="22"/>
        </w:rPr>
        <w:t xml:space="preserve">Year-end testing validates that controls operated effectively throughout the fiscal year. Roll-forward testing bridges interim testing to year-end. Management evaluates all deficiencies (individually and in aggregate) to determine the overall effectiveness conclusion. The management assessment report is prepared and included in the 10-K.</w:t>
      </w:r>
    </w:p>
    <w:p>
      <w:pPr>
        <w:pStyle w:val="Heading2"/>
        <w:spacing w:after="150" w:before="300"/>
      </w:pPr>
      <w:r>
        <w:rPr>
          <w:rFonts w:ascii="Georgia" w:cs="Georgia" w:eastAsia="Georgia" w:hAnsi="Georgia"/>
          <w:b/>
          <w:bCs/>
          <w:color w:val="333333"/>
          <w:sz w:val="26"/>
          <w:szCs w:val="26"/>
        </w:rPr>
        <w:t xml:space="preserve">5.2 Deficiency Evaluation</w:t>
      </w:r>
    </w:p>
    <w:p>
      <w:pPr>
        <w:spacing w:after="150" w:before="0"/>
        <w:jc w:val="both"/>
      </w:pPr>
      <w:r>
        <w:rPr>
          <w:rFonts w:ascii="Calibri" w:cs="Calibri" w:eastAsia="Calibri" w:hAnsi="Calibri"/>
          <w:color w:val="333333"/>
          <w:sz w:val="22"/>
          <w:szCs w:val="22"/>
        </w:rPr>
        <w:t xml:space="preserve">Control deficiencies shall be evaluated using the severity framework: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Severity</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Inconsequential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deficiency is unlikely to result in more than an inconsequential misstatement.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 Deficiency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deficiency could result in a misstatement that is more than inconsequential but not material.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Significant Deficiency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deficiency is less severe than a material weakness but merits attention by those charged with governance.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Material Weakness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There is a reasonable possibility that a material misstatement will not be prevented or detected on a timely basis.</w:t>
            </w:r>
          </w:p>
        </w:tc>
      </w:tr>
    </w:tbl>
    <w:p>
      <w:pPr>
        <w:spacing w:after="150" w:before="0"/>
        <w:jc w:val="both"/>
      </w:pPr>
      <w:r>
        <w:rPr>
          <w:rFonts w:ascii="Calibri" w:cs="Calibri" w:eastAsia="Calibri" w:hAnsi="Calibri"/>
          <w:color w:val="333333"/>
          <w:sz w:val="22"/>
          <w:szCs w:val="22"/>
        </w:rPr>
        <w:t xml:space="preserve">Deficiency severity considers: the magnitude of potential misstatement, the likelihood of occurrence, whether compensating controls exist, and the nature of the affected financial statement accounts.</w:t>
      </w:r>
    </w:p>
    <w:p>
      <w:pPr>
        <w:pStyle w:val="Heading2"/>
        <w:spacing w:after="150" w:before="300"/>
      </w:pPr>
      <w:r>
        <w:rPr>
          <w:rFonts w:ascii="Georgia" w:cs="Georgia" w:eastAsia="Georgia" w:hAnsi="Georgia"/>
          <w:b/>
          <w:bCs/>
          <w:color w:val="333333"/>
          <w:sz w:val="26"/>
          <w:szCs w:val="26"/>
        </w:rPr>
        <w:t xml:space="preserve">5.3 Entity-Level Controls</w:t>
      </w:r>
    </w:p>
    <w:p>
      <w:pPr>
        <w:spacing w:after="150" w:before="0"/>
        <w:jc w:val="both"/>
      </w:pPr>
      <w:r>
        <w:rPr>
          <w:rFonts w:ascii="Calibri" w:cs="Calibri" w:eastAsia="Calibri" w:hAnsi="Calibri"/>
          <w:color w:val="333333"/>
          <w:sz w:val="22"/>
          <w:szCs w:val="22"/>
        </w:rPr>
        <w:t xml:space="preserve">Entity-level controls that are pervasive to the ICFR system include: code of conduct and ethics program, board and audit committee oversight, management risk assessment, internal audit function, whistleblower program, anti-fraud program, and financial reporting competence assessment. Entity-level controls are evaluated annually as part of the SOX program.</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SOX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SOX program scope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Annual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Audit Committee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New control design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SOX Program Manager + Control Owner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Deficiency severity rating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Significant deficiency or above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Audit Committee notification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Remediation plan approval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 deficiencies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SOX Program Manager + Control Owner VP</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Material weakness disclosure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CEO + Audit Committee + External Auditor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SOX budget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Annual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There are no exceptions to the requirement for effective ICFR. If a control cannot operate as designed (e.g., due to system limitations, resource constraints, or organizational changes), a compensating control must be implemented and documented. The inability to implement an adequate compensating control shall be escalated to the CFO immediately for deficiency evaluation.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Continuous monitoring of automated controls through system reports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Interim testing of key controls (Q2-Q3)</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Year-end roll-forward testing (Q4)</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entity-level control assessment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deficiency tracking and remediation status reporting to Audit Committee</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 testing completion by deadline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Deficiency remediation within target date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Material weaknesses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Zero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Significant deficiencies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 (aspirational, remediate promptly)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External auditor reliance on management testing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&gt; [50%]</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Segregation of Duties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Systems Access Control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IT General Controls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Fraud Prevention &amp; Whistleblower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COSO 2013 Internal Control — Integrated Framework</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SOX Sections 302, 404, 906</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PCAOB AS 2201 (Auditing Internal Control)</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Risk-Control Matrix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Field</w:t>
            </w:r>
          </w:p>
        </w:tc>
        <w:tc>
          <w:tcPr>
            <w:tcW w:type="dxa" w:w="2400"/>
            <w:shd w:fill="0C0C0C" w:val="clear"/>
          </w:tcPr>
          <w:p>
            <w:pPr>
              <w:spacing w:after="60" w:before="60"/>
            </w:pPr>
            <w:r>
              <w:rPr>
                <w:rFonts w:ascii="Calibri" w:cs="Calibri" w:eastAsia="Calibri" w:hAnsi="Calibri"/>
                <w:b/>
                <w:bCs/>
                <w:color w:val="D4AF37"/>
                <w:sz w:val="20"/>
                <w:szCs w:val="20"/>
              </w:rPr>
              <w:t xml:space="preserve">Description</w:t>
            </w:r>
          </w:p>
        </w:tc>
        <w:tc>
          <w:tcPr>
            <w:tcW w:type="dxa" w:w="4560"/>
            <w:shd w:fill="0C0C0C" w:val="clear"/>
          </w:tcPr>
          <w:p>
            <w:pPr>
              <w:spacing w:after="60" w:before="60"/>
            </w:pPr>
            <w:r>
              <w:rPr>
                <w:rFonts w:ascii="Calibri" w:cs="Calibri" w:eastAsia="Calibri" w:hAnsi="Calibri"/>
                <w:b/>
                <w:bCs/>
                <w:color w:val="D4AF37"/>
                <w:sz w:val="20"/>
                <w:szCs w:val="20"/>
              </w:rPr>
              <w:t xml:space="preserve">Example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Process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Business process name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Revenue — Order to Cash</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Sub-Process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Specific sub-process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Invoice Generation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Risk</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What could go wrong</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Invoices not generated for shipped goods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Assertion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Financial statement assertion</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Completeness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Control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Control activity</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Shipping log reconciled to invoices daily</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Control Type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Preventive or Detective</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Detective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Frequency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How often performed</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Daily</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Control Owner</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Responsible individual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Billing Manager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Evidence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Documentation retained</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Signed reconciliation</w:t>
            </w:r>
          </w:p>
        </w:tc>
      </w:tr>
    </w:tbl>
    <w:p>
      <w:pPr>
        <w:pStyle w:val="Heading2"/>
        <w:spacing w:after="150" w:before="300"/>
      </w:pPr>
      <w:r>
        <w:rPr>
          <w:rFonts w:ascii="Georgia" w:cs="Georgia" w:eastAsia="Georgia" w:hAnsi="Georgia"/>
          <w:b/>
          <w:bCs/>
          <w:color w:val="333333"/>
          <w:sz w:val="26"/>
          <w:szCs w:val="26"/>
        </w:rPr>
        <w:t xml:space="preserve">Appendix B — Testing Sample Sizes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Control Frequency</w:t>
            </w:r>
          </w:p>
        </w:tc>
        <w:tc>
          <w:tcPr>
            <w:tcW w:type="dxa" w:w="6160"/>
            <w:shd w:fill="0C0C0C" w:val="clear"/>
          </w:tcPr>
          <w:p>
            <w:pPr>
              <w:spacing w:after="60" w:before="60"/>
            </w:pPr>
            <w:r>
              <w:rPr>
                <w:rFonts w:ascii="Calibri" w:cs="Calibri" w:eastAsia="Calibri" w:hAnsi="Calibri"/>
                <w:b/>
                <w:bCs/>
                <w:color w:val="D4AF37"/>
                <w:sz w:val="20"/>
                <w:szCs w:val="20"/>
              </w:rPr>
              <w:t xml:space="preserve">Minimum Sample Size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Annual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Quarterly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2</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Monthly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3-5</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Weekly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5-15</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Daily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20-25</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Multiple times per day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25-40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Automated (IT-dependent)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 (plus ITGC testing)</w:t>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Sample sizes are per PCAOB guidance and may be adjusted based on risk assessment and prior-year results.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11. SOX Program Governance</w:t>
      </w:r>
    </w:p>
    <w:p>
      <w:pPr>
        <w:pStyle w:val="Heading2"/>
        <w:spacing w:after="150" w:before="300"/>
      </w:pPr>
      <w:r>
        <w:rPr>
          <w:rFonts w:ascii="Georgia" w:cs="Georgia" w:eastAsia="Georgia" w:hAnsi="Georgia"/>
          <w:b/>
          <w:bCs/>
          <w:color w:val="333333"/>
          <w:sz w:val="26"/>
          <w:szCs w:val="26"/>
        </w:rPr>
        <w:t xml:space="preserve">11.1 SOX Steering Committee</w:t>
      </w:r>
    </w:p>
    <w:p>
      <w:pPr>
        <w:spacing w:after="150" w:before="0"/>
        <w:jc w:val="both"/>
      </w:pPr>
      <w:r>
        <w:rPr>
          <w:rFonts w:ascii="Calibri" w:cs="Calibri" w:eastAsia="Calibri" w:hAnsi="Calibri"/>
          <w:color w:val="333333"/>
          <w:sz w:val="22"/>
          <w:szCs w:val="22"/>
        </w:rPr>
        <w:t xml:space="preserve">[Company Name] shall maintain a SOX Steering Committee comprising: CFO (chair), Controller, SOX Program Manager, Head of Internal Audit, IT Director, and key business process owners. The committee shall meet [monthly during testing season / quarterly off-season] to review: program status and timeline, deficiency identification and remediation, scoping changes, external auditor coordination, and resource allocation.</w:t>
      </w:r>
    </w:p>
    <w:p>
      <w:pPr>
        <w:pStyle w:val="Heading2"/>
        <w:spacing w:after="150" w:before="300"/>
      </w:pPr>
      <w:r>
        <w:rPr>
          <w:rFonts w:ascii="Georgia" w:cs="Georgia" w:eastAsia="Georgia" w:hAnsi="Georgia"/>
          <w:b/>
          <w:bCs/>
          <w:color w:val="333333"/>
          <w:sz w:val="26"/>
          <w:szCs w:val="26"/>
        </w:rPr>
        <w:t xml:space="preserve">11.2 External Auditor Coordination</w:t>
      </w:r>
    </w:p>
    <w:p>
      <w:pPr>
        <w:spacing w:after="150" w:before="0"/>
        <w:jc w:val="both"/>
      </w:pPr>
      <w:r>
        <w:rPr>
          <w:rFonts w:ascii="Calibri" w:cs="Calibri" w:eastAsia="Calibri" w:hAnsi="Calibri"/>
          <w:color w:val="333333"/>
          <w:sz w:val="22"/>
          <w:szCs w:val="22"/>
        </w:rPr>
        <w:t xml:space="preserve">The SOX Program Manager shall maintain regular communication with the external audit team to: align scoping and risk assessment, coordinate testing to minimize duplication, share interim testing results, discuss identified deficiencies and severity assessments, and resolve disagreements on control design or operating effectiveness. The goal is maximum reliance by the external auditor on management testing, reducing overall SOX cost.</w:t>
      </w:r>
    </w:p>
    <w:p>
      <w:pPr>
        <w:pStyle w:val="Heading2"/>
        <w:spacing w:after="150" w:before="300"/>
      </w:pPr>
      <w:r>
        <w:rPr>
          <w:rFonts w:ascii="Georgia" w:cs="Georgia" w:eastAsia="Georgia" w:hAnsi="Georgia"/>
          <w:b/>
          <w:bCs/>
          <w:color w:val="333333"/>
          <w:sz w:val="26"/>
          <w:szCs w:val="26"/>
        </w:rPr>
        <w:t xml:space="preserve">11.3 SOX Program Budget and Resources</w:t>
      </w:r>
    </w:p>
    <w:p>
      <w:pPr>
        <w:spacing w:after="150" w:before="0"/>
        <w:jc w:val="both"/>
      </w:pPr>
      <w:r>
        <w:rPr>
          <w:rFonts w:ascii="Calibri" w:cs="Calibri" w:eastAsia="Calibri" w:hAnsi="Calibri"/>
          <w:color w:val="333333"/>
          <w:sz w:val="22"/>
          <w:szCs w:val="22"/>
        </w:rPr>
        <w:t xml:space="preserve">The CFO shall approve the annual SOX program budget including: internal testing resources (staff time, contract resources), GRC technology costs, external advisor fees, remediation project costs, and training. The SOX Program Manager shall track actual costs against budget and report quarterly.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12. Fraud Risk Integration</w:t>
      </w:r>
    </w:p>
    <w:p>
      <w:pPr>
        <w:pStyle w:val="Heading2"/>
        <w:spacing w:after="150" w:before="300"/>
      </w:pPr>
      <w:r>
        <w:rPr>
          <w:rFonts w:ascii="Georgia" w:cs="Georgia" w:eastAsia="Georgia" w:hAnsi="Georgia"/>
          <w:b/>
          <w:bCs/>
          <w:color w:val="333333"/>
          <w:sz w:val="26"/>
          <w:szCs w:val="26"/>
        </w:rPr>
        <w:t xml:space="preserve">12.1 Fraud Risk Assessment</w:t>
      </w:r>
    </w:p>
    <w:p>
      <w:pPr>
        <w:spacing w:after="150" w:before="0"/>
        <w:jc w:val="both"/>
      </w:pPr>
      <w:r>
        <w:rPr>
          <w:rFonts w:ascii="Calibri" w:cs="Calibri" w:eastAsia="Calibri" w:hAnsi="Calibri"/>
          <w:color w:val="333333"/>
          <w:sz w:val="22"/>
          <w:szCs w:val="22"/>
        </w:rPr>
        <w:t xml:space="preserve">The SOX program shall integrate fraud risk assessment per SAS 99 and COSO guidance. The fraud risk assessment shall identify: incentives/pressures that could lead to fraudulent financial reporting, opportunities for fraud (weak controls, management override, collusion), and attitudes/rationalizations that could permit fraud. Fraud risks shall be mapped to specific controls, with particular attention to management override controls.</w:t>
      </w:r>
    </w:p>
    <w:p>
      <w:pPr>
        <w:pStyle w:val="Heading2"/>
        <w:spacing w:after="150" w:before="300"/>
      </w:pPr>
      <w:r>
        <w:rPr>
          <w:rFonts w:ascii="Georgia" w:cs="Georgia" w:eastAsia="Georgia" w:hAnsi="Georgia"/>
          <w:b/>
          <w:bCs/>
          <w:color w:val="333333"/>
          <w:sz w:val="26"/>
          <w:szCs w:val="26"/>
        </w:rPr>
        <w:t xml:space="preserve">12.2 Anti-Fraud Controls</w:t>
      </w:r>
    </w:p>
    <w:p>
      <w:pPr>
        <w:spacing w:after="150" w:before="0"/>
        <w:jc w:val="both"/>
      </w:pPr>
      <w:r>
        <w:rPr>
          <w:rFonts w:ascii="Calibri" w:cs="Calibri" w:eastAsia="Calibri" w:hAnsi="Calibri"/>
          <w:color w:val="333333"/>
          <w:sz w:val="22"/>
          <w:szCs w:val="22"/>
        </w:rPr>
        <w:t xml:space="preserve">The following anti-fraud controls shall be included in the SOX control framework:</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Journal entry review controls (particularly entries by senior management)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Significant estimate challenge and validation procedures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Related party transaction identification and approval controls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Whistleblower program and hotline monitoring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Code of conduct annual certification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Data analytics for anomaly detection in financial transactions</w:t>
      </w:r>
    </w:p>
    <w:p>
      <w:pPr>
        <w:pStyle w:val="Heading2"/>
        <w:spacing w:after="150" w:before="300"/>
      </w:pPr>
      <w:r>
        <w:rPr>
          <w:rFonts w:ascii="Georgia" w:cs="Georgia" w:eastAsia="Georgia" w:hAnsi="Georgia"/>
          <w:b/>
          <w:bCs/>
          <w:color w:val="333333"/>
          <w:sz w:val="26"/>
          <w:szCs w:val="26"/>
        </w:rPr>
        <w:t xml:space="preserve">12.3 Continuous Monitoring</w:t>
      </w:r>
    </w:p>
    <w:p>
      <w:pPr>
        <w:spacing w:after="150" w:before="0"/>
        <w:jc w:val="both"/>
      </w:pPr>
      <w:r>
        <w:rPr>
          <w:rFonts w:ascii="Calibri" w:cs="Calibri" w:eastAsia="Calibri" w:hAnsi="Calibri"/>
          <w:color w:val="333333"/>
          <w:sz w:val="22"/>
          <w:szCs w:val="22"/>
        </w:rPr>
        <w:t xml:space="preserve">[Company Name] shall implement continuous monitoring capabilities that supplement periodic testing: automated control monitoring (system-generated exception reports for control failures), continuous transaction monitoring (analytics that run daily or weekly on high-risk transactions), and KRI monitoring (key risk indicators tracked against thresholds with automated alerting). Continuous monitoring findings shall be incorporated into the SOX deficiency evaluation process.</w:t>
      </w:r>
    </w:p>
    <w:p>
      <w:pPr>
        <w:pStyle w:val="Heading2"/>
        <w:spacing w:after="150" w:before="300"/>
      </w:pPr>
      <w:r>
        <w:rPr>
          <w:rFonts w:ascii="Georgia" w:cs="Georgia" w:eastAsia="Georgia" w:hAnsi="Georgia"/>
          <w:b/>
          <w:bCs/>
          <w:color w:val="333333"/>
          <w:sz w:val="26"/>
          <w:szCs w:val="26"/>
        </w:rPr>
        <w:t xml:space="preserve">12.4 SOX Training and Awareness</w:t>
      </w:r>
    </w:p>
    <w:p>
      <w:pPr>
        <w:spacing w:after="150" w:before="0"/>
        <w:jc w:val="both"/>
      </w:pPr>
      <w:r>
        <w:rPr>
          <w:rFonts w:ascii="Calibri" w:cs="Calibri" w:eastAsia="Calibri" w:hAnsi="Calibri"/>
          <w:color w:val="333333"/>
          <w:sz w:val="22"/>
          <w:szCs w:val="22"/>
        </w:rPr>
        <w:t xml:space="preserve">All control owners shall receive annual training on: their specific control responsibilities, documentation and evidence standards, deficiency identification and reporting, and remediation expectations. New control owners shall complete SOX orientation within [30] days of assuming control ownership. The SOX Program Manager shall maintain training records and verify completion.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Internal Controls &amp; SOX Compliance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2026-07-13T07:26:12.636Z</dcterms:created>
  <dcterms:modified xsi:type="dcterms:W3CDTF">2026-07-13T07:26:12.636Z</dcterms:modified>
</cp:coreProperties>
</file>

<file path=docProps/custom.xml><?xml version="1.0" encoding="utf-8"?>
<Properties xmlns="http://schemas.openxmlformats.org/officeDocument/2006/custom-properties" xmlns:vt="http://schemas.openxmlformats.org/officeDocument/2006/docPropsVTypes"/>
</file>