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0"/>
      </w:pPr>
    </w:p>
    <w:p>
      <w:pPr>
        <w:spacing w:after="200"/>
        <w:jc w:val="center"/>
      </w:pPr>
      <w:r>
        <w:rPr>
          <w:rFonts w:ascii="Georgia" w:cs="Georgia" w:eastAsia="Georgia" w:hAnsi="Georgia"/>
          <w:b/>
          <w:bCs/>
          <w:color w:val="D4AF37"/>
          <w:sz w:val="56"/>
          <w:szCs w:val="56"/>
        </w:rPr>
        <w:t xml:space="preserve">EFuturesCFO</w:t>
      </w:r>
    </w:p>
    <w:p>
      <w:pPr>
        <w:spacing w:after="100"/>
        <w:jc w:val="center"/>
      </w:pPr>
      <w:r>
        <w:rPr>
          <w:rFonts w:ascii="Calibri" w:cs="Calibri" w:eastAsia="Calibri" w:hAnsi="Calibri"/>
          <w:color w:val="9CA3AF"/>
          <w:sz w:val="24"/>
          <w:szCs w:val="24"/>
        </w:rPr>
        <w:t xml:space="preserve">Executive Decision Tools</w:t>
      </w:r>
    </w:p>
    <w:p>
      <w:pPr>
        <w:pBdr>
          <w:bottom w:val="single" w:color="D4AF37" w:sz="6"/>
        </w:pBdr>
        <w:spacing w:after="600"/>
        <w:jc w:val="center"/>
      </w:pPr>
      <w:r>
        <w:rPr>
          <w:sz w:val="12"/>
          <w:szCs w:val="12"/>
        </w:rPr>
        <w:t xml:space="preserve"> </w:t>
      </w:r>
    </w:p>
    <w:p>
      <w:pPr>
        <w:spacing w:after="400"/>
      </w:pPr>
    </w:p>
    <w:p>
      <w:pPr>
        <w:spacing w:after="200"/>
        <w:jc w:val="center"/>
      </w:pPr>
      <w:r>
        <w:rPr>
          <w:rFonts w:ascii="Georgia" w:cs="Georgia" w:eastAsia="Georgia" w:hAnsi="Georgia"/>
          <w:b/>
          <w:bCs/>
          <w:color w:val="0C0C0C"/>
          <w:sz w:val="48"/>
          <w:szCs w:val="48"/>
        </w:rPr>
        <w:t xml:space="preserve">Financial Delegation of Authority Policy</w:t>
      </w:r>
    </w:p>
    <w:p>
      <w:pPr>
        <w:spacing w:after="200"/>
        <w:jc w:val="center"/>
      </w:pPr>
      <w:r>
        <w:rPr>
          <w:rFonts w:ascii="Calibri" w:cs="Calibri" w:eastAsia="Calibri" w:hAnsi="Calibri"/>
          <w:color w:val="666666"/>
          <w:sz w:val="28"/>
          <w:szCs w:val="28"/>
        </w:rPr>
        <w:t xml:space="preserve">Policy &amp; Procedures Manual</w:t>
      </w:r>
    </w:p>
    <w:p>
      <w:pPr>
        <w:spacing w:after="2000"/>
      </w:pPr>
    </w:p>
    <w:p>
      <w:pPr>
        <w:spacing w:after="100"/>
        <w:jc w:val="center"/>
      </w:pPr>
      <w:r>
        <w:rPr>
          <w:rFonts w:ascii="Calibri" w:cs="Calibri" w:eastAsia="Calibri" w:hAnsi="Calibri"/>
          <w:b/>
          <w:bCs/>
          <w:color w:val="0C0C0C"/>
          <w:sz w:val="28"/>
          <w:szCs w:val="28"/>
        </w:rPr>
        <w:t xml:space="preserve">[Company Name]</w:t>
      </w:r>
    </w:p>
    <w:p>
      <w:pPr>
        <w:spacing w:after="100"/>
        <w:jc w:val="center"/>
      </w:pPr>
      <w:r>
        <w:rPr>
          <w:rFonts w:ascii="Calibri" w:cs="Calibri" w:eastAsia="Calibri" w:hAnsi="Calibri"/>
          <w:color w:val="9CA3AF"/>
          <w:sz w:val="22"/>
          <w:szCs w:val="22"/>
        </w:rPr>
        <w:t xml:space="preserve">Policy Document — Confidential</w:t>
      </w:r>
    </w:p>
    <w:p>
      <w:pPr>
        <w:spacing w:after="100"/>
        <w:jc w:val="center"/>
      </w:pPr>
      <w:r>
        <w:rPr>
          <w:rFonts w:ascii="Calibri" w:cs="Calibri" w:eastAsia="Calibri" w:hAnsi="Calibri"/>
          <w:color w:val="9CA3AF"/>
          <w:sz w:val="20"/>
          <w:szCs w:val="20"/>
        </w:rPr>
        <w:t xml:space="preserve">Effective Date: [Date]  |  Version: 1.0</w:t>
      </w:r>
    </w:p>
    <w:p>
      <w:pPr>
        <w:spacing w:after="100"/>
        <w:jc w:val="center"/>
      </w:pPr>
      <w:r>
        <w:rPr>
          <w:rFonts w:ascii="Calibri" w:cs="Calibri" w:eastAsia="Calibri" w:hAnsi="Calibri"/>
          <w:color w:val="9CA3AF"/>
          <w:sz w:val="20"/>
          <w:szCs w:val="20"/>
        </w:rPr>
        <w:t xml:space="preserve">Owner: [Policy Owner Title]  |  Approved by: [CFO Name]</w:t>
      </w:r>
    </w:p>
    <w:p>
      <w:r>
        <w:br w:type="page"/>
      </w:r>
    </w:p>
    <w:p>
      <w:pPr>
        <w:pStyle w:val="Heading1"/>
        <w:spacing w:after="300"/>
      </w:pPr>
      <w:r>
        <w:rPr>
          <w:rFonts w:ascii="Georgia" w:cs="Georgia" w:eastAsia="Georgia" w:hAnsi="Georgia"/>
          <w:b/>
          <w:bCs/>
          <w:color w:val="0C0C0C"/>
          <w:sz w:val="32"/>
          <w:szCs w:val="32"/>
        </w:rPr>
        <w:t xml:space="preserve">Table of 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 Purpose &amp; Scope</w:t>
      </w:r>
    </w:p>
    <w:p>
      <w:pPr>
        <w:spacing w:after="150" w:before="0"/>
        <w:jc w:val="both"/>
      </w:pPr>
      <w:r>
        <w:rPr>
          <w:rFonts w:ascii="Calibri" w:cs="Calibri" w:eastAsia="Calibri" w:hAnsi="Calibri"/>
          <w:color w:val="333333"/>
          <w:sz w:val="22"/>
          <w:szCs w:val="22"/>
        </w:rPr>
        <w:t xml:space="preserve">This Financial Delegation of Authority (DOA) Policy establishes the approval authorities, spending limits, and authorization requirements for financial commitments made on behalf of [Company Name]. The policy ensures that all financial transactions are approved by individuals with the appropriate authority, creating accountability and preventing unauthorized commitments.</w:t>
      </w:r>
    </w:p>
    <w:p>
      <w:pPr>
        <w:spacing w:after="150" w:before="0"/>
        <w:jc w:val="both"/>
      </w:pPr>
      <w:r>
        <w:rPr>
          <w:rFonts w:ascii="Calibri" w:cs="Calibri" w:eastAsia="Calibri" w:hAnsi="Calibri"/>
          <w:color w:val="333333"/>
          <w:sz w:val="22"/>
          <w:szCs w:val="22"/>
        </w:rPr>
        <w:t xml:space="preserve">This policy applies to all employees, officers, and directors of [Company Name] and its subsidiaries. It governs all financial commitments including: purchase orders, contracts, capital expenditures, hiring, compensation changes, expense approvals, and any other action that creates a financial obligation for the company.</w:t>
      </w:r>
    </w:p>
    <w:p>
      <w:pPr>
        <w:pStyle w:val="Heading2"/>
        <w:spacing w:after="150" w:before="300"/>
      </w:pPr>
      <w:r>
        <w:rPr>
          <w:rFonts w:ascii="Georgia" w:cs="Georgia" w:eastAsia="Georgia" w:hAnsi="Georgia"/>
          <w:b/>
          <w:bCs/>
          <w:color w:val="333333"/>
          <w:sz w:val="26"/>
          <w:szCs w:val="26"/>
        </w:rPr>
        <w:t xml:space="preserve">1.1 Objectives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Establish clear approval authorities aligned with organizational roles and responsibilities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Ensure all financial commitments are authorized before obligations are created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Prevent unauthorized spending through documented and enforceable limits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Enable efficient decision-making by delegating authority to appropriate levels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Support SOX compliance through documented controls over financial authorization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Provide audit trail for all material financial commitments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2. Definitions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Term</w:t>
            </w:r>
          </w:p>
        </w:tc>
        <w:tc>
          <w:tcPr>
            <w:tcW w:type="dxa" w:w="6160"/>
            <w:shd w:fill="0C0C0C" w:val="clear"/>
          </w:tcPr>
          <w:p>
            <w:pPr>
              <w:spacing w:after="60" w:before="60"/>
            </w:pPr>
            <w:r>
              <w:rPr>
                <w:rFonts w:ascii="Calibri" w:cs="Calibri" w:eastAsia="Calibri" w:hAnsi="Calibri"/>
                <w:b/>
                <w:bCs/>
                <w:color w:val="D4AF37"/>
                <w:sz w:val="20"/>
                <w:szCs w:val="20"/>
              </w:rPr>
              <w:t xml:space="preserve">Definition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Delegation of Authority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formal transfer of decision-making power from a higher authority to a lower level within the organization.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Approval Authority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documented right to approve financial commitments up to a specified dollar amount.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Commitment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Any action that obligates [Company Name] to make a payment or provide consideration, including contracts, purchase orders, and verbal agreements.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Threshold</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maximum dollar amount an individual may approve without seeking higher-level authorization.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Dual Authorization</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requirement that two authorized individuals must approve a transaction.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Sub-Delegation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transfer of approval authority from one authorized individual to another, subject to the limitations of this policy.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Standing Approval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 pre-approved authority for recurring transactions within defined parameters (e.g., monthly rent, payroll).</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Emergency Authorization</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Approval granted outside normal channels due to time-critical business needs.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3. Policy Statements</w:t>
      </w:r>
    </w:p>
    <w:p>
      <w:pPr>
        <w:pStyle w:val="Heading2"/>
        <w:spacing w:after="150" w:before="300"/>
      </w:pPr>
      <w:r>
        <w:rPr>
          <w:rFonts w:ascii="Georgia" w:cs="Georgia" w:eastAsia="Georgia" w:hAnsi="Georgia"/>
          <w:b/>
          <w:bCs/>
          <w:color w:val="333333"/>
          <w:sz w:val="26"/>
          <w:szCs w:val="26"/>
        </w:rPr>
        <w:t xml:space="preserve">3.1 General Principles</w:t>
      </w:r>
    </w:p>
    <w:p>
      <w:pPr>
        <w:spacing w:after="150" w:before="0"/>
        <w:jc w:val="both"/>
      </w:pPr>
      <w:r>
        <w:rPr>
          <w:rFonts w:ascii="Calibri" w:cs="Calibri" w:eastAsia="Calibri" w:hAnsi="Calibri"/>
          <w:color w:val="333333"/>
          <w:sz w:val="22"/>
          <w:szCs w:val="22"/>
        </w:rPr>
        <w:t xml:space="preserve">No financial commitment shall be made on behalf of [Company Name] without approval from an individual with documented authority at or above the commitment amount. The individual making the commitment cannot approve their own expenditure (self-approval prohibition). All approvals shall be documented in writing (electronic approval is acceptable) and retained per the Record Retention Policy.</w:t>
      </w:r>
    </w:p>
    <w:p>
      <w:pPr>
        <w:pStyle w:val="Heading2"/>
        <w:spacing w:after="150" w:before="300"/>
      </w:pPr>
      <w:r>
        <w:rPr>
          <w:rFonts w:ascii="Georgia" w:cs="Georgia" w:eastAsia="Georgia" w:hAnsi="Georgia"/>
          <w:b/>
          <w:bCs/>
          <w:color w:val="333333"/>
          <w:sz w:val="26"/>
          <w:szCs w:val="26"/>
        </w:rPr>
        <w:t xml:space="preserve">3.2 Master Approval Matrix</w:t>
      </w:r>
    </w:p>
    <w:p>
      <w:pPr>
        <w:spacing w:after="150" w:before="0"/>
        <w:jc w:val="both"/>
      </w:pPr>
      <w:r>
        <w:rPr>
          <w:rFonts w:ascii="Calibri" w:cs="Calibri" w:eastAsia="Calibri" w:hAnsi="Calibri"/>
          <w:color w:val="333333"/>
          <w:sz w:val="22"/>
          <w:szCs w:val="22"/>
        </w:rPr>
        <w:t xml:space="preserve">The following approval matrix defines the maximum commitment authority for each organizational level:</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Level</w:t>
            </w:r>
          </w:p>
        </w:tc>
        <w:tc>
          <w:tcPr>
            <w:tcW w:type="dxa" w:w="2400"/>
            <w:shd w:fill="0C0C0C" w:val="clear"/>
          </w:tcPr>
          <w:p>
            <w:pPr>
              <w:spacing w:after="60" w:before="60"/>
            </w:pPr>
            <w:r>
              <w:rPr>
                <w:rFonts w:ascii="Calibri" w:cs="Calibri" w:eastAsia="Calibri" w:hAnsi="Calibri"/>
                <w:b/>
                <w:bCs/>
                <w:color w:val="D4AF37"/>
                <w:sz w:val="20"/>
                <w:szCs w:val="20"/>
              </w:rPr>
              <w:t xml:space="preserve">Operating Expenditures</w:t>
            </w:r>
          </w:p>
        </w:tc>
        <w:tc>
          <w:tcPr>
            <w:tcW w:type="dxa" w:w="4560"/>
            <w:shd w:fill="0C0C0C" w:val="clear"/>
          </w:tcPr>
          <w:p>
            <w:pPr>
              <w:spacing w:after="60" w:before="60"/>
            </w:pPr>
            <w:r>
              <w:rPr>
                <w:rFonts w:ascii="Calibri" w:cs="Calibri" w:eastAsia="Calibri" w:hAnsi="Calibri"/>
                <w:b/>
                <w:bCs/>
                <w:color w:val="D4AF37"/>
                <w:sz w:val="20"/>
                <w:szCs w:val="20"/>
              </w:rPr>
              <w:t xml:space="preserve">Capital Expenditures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Team Lead / Supervisor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$5,000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N/A</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Manager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$10,000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N/A</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Senior Manager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$25,000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N/A</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Director</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$50,000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$25,000</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Vice President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$100,000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$50,000</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Senior Vice President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$250,000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$100,000</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Controller</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$500,000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$250,000</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CFO</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$1,000,000</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$500,000</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CEO</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$2,500,000</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$1,000,000</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Unlimited</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Unlimited</w:t>
            </w:r>
          </w:p>
        </w:tc>
      </w:tr>
    </w:tbl>
    <w:p>
      <w:pPr>
        <w:pBdr>
          <w:left w:val="single" w:color="D4AF37" w:sz="8"/>
        </w:pBdr>
        <w:spacing w:after="200" w:before="100"/>
        <w:ind w:left="360"/>
      </w:pPr>
      <w:r>
        <w:rPr>
          <w:rFonts w:ascii="Calibri" w:cs="Calibri" w:eastAsia="Calibri" w:hAnsi="Calibri"/>
          <w:b/>
          <w:bCs/>
          <w:color w:val="D4AF37"/>
          <w:sz w:val="20"/>
          <w:szCs w:val="20"/>
        </w:rPr>
        <w:t xml:space="preserve">Note: </w:t>
      </w:r>
      <w:r>
        <w:rPr>
          <w:rFonts w:ascii="Calibri" w:cs="Calibri" w:eastAsia="Calibri" w:hAnsi="Calibri"/>
          <w:i/>
          <w:iCs/>
          <w:color w:val="666666"/>
          <w:sz w:val="20"/>
          <w:szCs w:val="20"/>
        </w:rPr>
        <w:t xml:space="preserve">Thresholds represent the maximum individual transaction amount. Splitting transactions to stay below thresholds is strictly prohibited and subject to disciplinary action.</w:t>
      </w:r>
    </w:p>
    <w:p>
      <w:pPr>
        <w:pStyle w:val="Heading2"/>
        <w:spacing w:after="150" w:before="300"/>
      </w:pPr>
      <w:r>
        <w:rPr>
          <w:rFonts w:ascii="Georgia" w:cs="Georgia" w:eastAsia="Georgia" w:hAnsi="Georgia"/>
          <w:b/>
          <w:bCs/>
          <w:color w:val="333333"/>
          <w:sz w:val="26"/>
          <w:szCs w:val="26"/>
        </w:rPr>
        <w:t xml:space="preserve">3.3 Transaction Splitting Prohibition</w:t>
      </w:r>
    </w:p>
    <w:p>
      <w:pPr>
        <w:spacing w:after="150" w:before="0"/>
        <w:jc w:val="both"/>
      </w:pPr>
      <w:r>
        <w:rPr>
          <w:rFonts w:ascii="Calibri" w:cs="Calibri" w:eastAsia="Calibri" w:hAnsi="Calibri"/>
          <w:color w:val="333333"/>
          <w:sz w:val="22"/>
          <w:szCs w:val="22"/>
        </w:rPr>
        <w:t xml:space="preserve">[Company Name] strictly prohibits the splitting of transactions, invoices, or purchase orders to circumvent approval thresholds. Transactions that are part of a single business purpose, project, or vendor relationship shall be aggregated for threshold determination. Related transactions occurring within a [90]-day period with the same vendor shall be evaluated as a single commitment.</w:t>
      </w:r>
    </w:p>
    <w:p>
      <w:pPr>
        <w:pStyle w:val="Heading2"/>
        <w:spacing w:after="150" w:before="300"/>
      </w:pPr>
      <w:r>
        <w:rPr>
          <w:rFonts w:ascii="Georgia" w:cs="Georgia" w:eastAsia="Georgia" w:hAnsi="Georgia"/>
          <w:b/>
          <w:bCs/>
          <w:color w:val="333333"/>
          <w:sz w:val="26"/>
          <w:szCs w:val="26"/>
        </w:rPr>
        <w:t xml:space="preserve">3.4 Budget Requirement</w:t>
      </w:r>
    </w:p>
    <w:p>
      <w:pPr>
        <w:spacing w:after="150" w:before="0"/>
        <w:jc w:val="both"/>
      </w:pPr>
      <w:r>
        <w:rPr>
          <w:rFonts w:ascii="Calibri" w:cs="Calibri" w:eastAsia="Calibri" w:hAnsi="Calibri"/>
          <w:color w:val="333333"/>
          <w:sz w:val="22"/>
          <w:szCs w:val="22"/>
        </w:rPr>
        <w:t xml:space="preserve">Approval authority is contingent on budget availability. An individual may only approve expenditures that are within their department's approved budget. Over-budget expenditures require both the normal DOA approval AND CFO approval for the budget exception.</w:t>
      </w:r>
    </w:p>
    <w:p>
      <w:pPr>
        <w:pStyle w:val="Heading2"/>
        <w:spacing w:after="150" w:before="300"/>
      </w:pPr>
      <w:r>
        <w:rPr>
          <w:rFonts w:ascii="Georgia" w:cs="Georgia" w:eastAsia="Georgia" w:hAnsi="Georgia"/>
          <w:b/>
          <w:bCs/>
          <w:color w:val="333333"/>
          <w:sz w:val="26"/>
          <w:szCs w:val="26"/>
        </w:rPr>
        <w:t xml:space="preserve">3.5 Sub-Delegation</w:t>
      </w:r>
    </w:p>
    <w:p>
      <w:pPr>
        <w:spacing w:after="150" w:before="0"/>
        <w:jc w:val="both"/>
      </w:pPr>
      <w:r>
        <w:rPr>
          <w:rFonts w:ascii="Calibri" w:cs="Calibri" w:eastAsia="Calibri" w:hAnsi="Calibri"/>
          <w:color w:val="333333"/>
          <w:sz w:val="22"/>
          <w:szCs w:val="22"/>
        </w:rPr>
        <w:t xml:space="preserve">Authority may be temporarily sub-delegated during planned absences (vacation, leave, travel). Sub-delegation must be: documented in writing (email to the Controller is acceptable), limited to the sub-delegator's own authority level, time-limited (not exceeding [30] days), and communicated to the AP and Procurement teams. The sub-delegator remains accountable for decisions made under sub-delegation.</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4. Roles &amp; Responsibilities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Responsibilities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Board of Directors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Approves transactions exceeding CEO authority. Approves the DOA policy and annual updates. Delegates authority to the CEO.</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CEO</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Approves transactions within their authority. Delegates authority to direct reports per this policy. Ensures organizational compliance.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CFO</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Maintains the DOA policy. Reviews and approves DOA updates. Ensures AP and Procurement systems enforce DOA limits. Resolves authority disputes.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Controller</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Monitors DOA compliance. Reviews approval patterns for anomalies. Investigates policy violations. Updates the DOA matrix annually.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 / Procurement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Verifies approval authority before processing payments or purchase orders. Rejects transactions without proper authorization.</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IT</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Configures ERP approval workflows to enforce DOA thresholds. Maintains audit trail of all approvals.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Internal Audit</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Tests DOA compliance periodically. Reviews transactions for proper authorization. Reports violations.</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All Employees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Understand their approval authority. Obtain proper approvals before making commitments. Report violations.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5. Detailed Procedures</w:t>
      </w:r>
    </w:p>
    <w:p>
      <w:pPr>
        <w:pStyle w:val="Heading2"/>
        <w:spacing w:after="150" w:before="300"/>
      </w:pPr>
      <w:r>
        <w:rPr>
          <w:rFonts w:ascii="Georgia" w:cs="Georgia" w:eastAsia="Georgia" w:hAnsi="Georgia"/>
          <w:b/>
          <w:bCs/>
          <w:color w:val="333333"/>
          <w:sz w:val="26"/>
          <w:szCs w:val="26"/>
        </w:rPr>
        <w:t xml:space="preserve">5.1 Category-Specific Authorities</w:t>
      </w:r>
    </w:p>
    <w:p>
      <w:pPr>
        <w:pStyle w:val="Heading3"/>
        <w:spacing w:after="100" w:before="200"/>
      </w:pPr>
      <w:r>
        <w:rPr>
          <w:rFonts w:ascii="Georgia" w:cs="Georgia" w:eastAsia="Georgia" w:hAnsi="Georgia"/>
          <w:b/>
          <w:bCs/>
          <w:color w:val="444444"/>
          <w:sz w:val="22"/>
          <w:szCs w:val="22"/>
        </w:rPr>
        <w:t xml:space="preserve">5.1.1 Contracts and Legal Agreements</w:t>
      </w:r>
    </w:p>
    <w:p>
      <w:pPr>
        <w:spacing w:after="150" w:before="0"/>
        <w:jc w:val="both"/>
      </w:pPr>
      <w:r>
        <w:rPr>
          <w:rFonts w:ascii="Calibri" w:cs="Calibri" w:eastAsia="Calibri" w:hAnsi="Calibri"/>
          <w:color w:val="333333"/>
          <w:sz w:val="22"/>
          <w:szCs w:val="22"/>
        </w:rPr>
        <w:t xml:space="preserve">Contracts, agreements, and legal commitments require approval based on the total financial commitment over the contract term (not annual value). Contracts exceeding [12] months require Legal review regardless of value. Contracts exceeding [$250K] total commitment require CFO signature. All contracts requiring Board approval shall be presented with a summary and Legal recommendation.</w:t>
      </w:r>
    </w:p>
    <w:p>
      <w:pPr>
        <w:pStyle w:val="Heading3"/>
        <w:spacing w:after="100" w:before="200"/>
      </w:pPr>
      <w:r>
        <w:rPr>
          <w:rFonts w:ascii="Georgia" w:cs="Georgia" w:eastAsia="Georgia" w:hAnsi="Georgia"/>
          <w:b/>
          <w:bCs/>
          <w:color w:val="444444"/>
          <w:sz w:val="22"/>
          <w:szCs w:val="22"/>
        </w:rPr>
        <w:t xml:space="preserve">5.1.2 Hiring and Compensation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Action</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Approver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New hire (within budget and headcount plan)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Hiring Manager + HR + VP</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New hire (above budget or plan)</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VP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Salary increase (within merit budget)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Manager + HR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Salary increase (above merit budget)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VP + HR + CFO</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Executive officer hiring or compensation</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Compensation Committee</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Termination with severance</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$50K severance</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VP + HR + Legal</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Termination with severance</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$50K severance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CFO + CEO + Legal</w:t>
            </w:r>
          </w:p>
        </w:tc>
      </w:tr>
    </w:tbl>
    <w:p>
      <w:pPr>
        <w:pStyle w:val="Heading3"/>
        <w:spacing w:after="100" w:before="200"/>
      </w:pPr>
      <w:r>
        <w:rPr>
          <w:rFonts w:ascii="Georgia" w:cs="Georgia" w:eastAsia="Georgia" w:hAnsi="Georgia"/>
          <w:b/>
          <w:bCs/>
          <w:color w:val="444444"/>
          <w:sz w:val="22"/>
          <w:szCs w:val="22"/>
        </w:rPr>
        <w:t xml:space="preserve">5.1.3 Travel and Entertainment</w:t>
      </w:r>
    </w:p>
    <w:p>
      <w:pPr>
        <w:spacing w:after="150" w:before="0"/>
        <w:jc w:val="both"/>
      </w:pPr>
      <w:r>
        <w:rPr>
          <w:rFonts w:ascii="Calibri" w:cs="Calibri" w:eastAsia="Calibri" w:hAnsi="Calibri"/>
          <w:color w:val="333333"/>
          <w:sz w:val="22"/>
          <w:szCs w:val="22"/>
        </w:rPr>
        <w:t xml:space="preserve">Travel and entertainment expenses follow the Expense Reimbursement &amp; Travel Policy thresholds. Manager approval is required for all T&amp;E. VP approval is required for: international travel, first/business class airfare, and individual event costs exceeding [threshold].</w:t>
      </w:r>
    </w:p>
    <w:p>
      <w:pPr>
        <w:pStyle w:val="Heading3"/>
        <w:spacing w:after="100" w:before="200"/>
      </w:pPr>
      <w:r>
        <w:rPr>
          <w:rFonts w:ascii="Georgia" w:cs="Georgia" w:eastAsia="Georgia" w:hAnsi="Georgia"/>
          <w:b/>
          <w:bCs/>
          <w:color w:val="444444"/>
          <w:sz w:val="22"/>
          <w:szCs w:val="22"/>
        </w:rPr>
        <w:t xml:space="preserve">5.1.4 Charitable Contributions and Sponsorships</w:t>
      </w:r>
    </w:p>
    <w:p>
      <w:pPr>
        <w:spacing w:after="150" w:before="0"/>
        <w:jc w:val="both"/>
      </w:pPr>
      <w:r>
        <w:rPr>
          <w:rFonts w:ascii="Calibri" w:cs="Calibri" w:eastAsia="Calibri" w:hAnsi="Calibri"/>
          <w:color w:val="333333"/>
          <w:sz w:val="22"/>
          <w:szCs w:val="22"/>
        </w:rPr>
        <w:t xml:space="preserve">All charitable contributions and sponsorships require CFO approval regardless of amount, per the Charitable Contributions &amp; Sponsorship Policy.</w:t>
      </w:r>
    </w:p>
    <w:p>
      <w:pPr>
        <w:pStyle w:val="Heading3"/>
        <w:spacing w:after="100" w:before="200"/>
      </w:pPr>
      <w:r>
        <w:rPr>
          <w:rFonts w:ascii="Georgia" w:cs="Georgia" w:eastAsia="Georgia" w:hAnsi="Georgia"/>
          <w:b/>
          <w:bCs/>
          <w:color w:val="444444"/>
          <w:sz w:val="22"/>
          <w:szCs w:val="22"/>
        </w:rPr>
        <w:t xml:space="preserve">5.1.5 Related Party Transactions</w:t>
      </w:r>
    </w:p>
    <w:p>
      <w:pPr>
        <w:spacing w:after="150" w:before="0"/>
        <w:jc w:val="both"/>
      </w:pPr>
      <w:r>
        <w:rPr>
          <w:rFonts w:ascii="Calibri" w:cs="Calibri" w:eastAsia="Calibri" w:hAnsi="Calibri"/>
          <w:color w:val="333333"/>
          <w:sz w:val="22"/>
          <w:szCs w:val="22"/>
        </w:rPr>
        <w:t xml:space="preserve">All transactions with related parties (officers, directors, significant shareholders, or their affiliates) require CFO approval and Audit Committee notification for any amount. The Audit Committee must approve related party transactions exceeding [$120K] annually per SEC requirements.</w:t>
      </w:r>
    </w:p>
    <w:p>
      <w:pPr>
        <w:pStyle w:val="Heading2"/>
        <w:spacing w:after="150" w:before="300"/>
      </w:pPr>
      <w:r>
        <w:rPr>
          <w:rFonts w:ascii="Georgia" w:cs="Georgia" w:eastAsia="Georgia" w:hAnsi="Georgia"/>
          <w:b/>
          <w:bCs/>
          <w:color w:val="333333"/>
          <w:sz w:val="26"/>
          <w:szCs w:val="26"/>
        </w:rPr>
        <w:t xml:space="preserve">5.2 Wire Transfer and Payment Authorities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Payment Type</w:t>
            </w:r>
          </w:p>
        </w:tc>
        <w:tc>
          <w:tcPr>
            <w:tcW w:type="dxa" w:w="2400"/>
            <w:shd w:fill="0C0C0C" w:val="clear"/>
          </w:tcPr>
          <w:p>
            <w:pPr>
              <w:spacing w:after="60" w:before="60"/>
            </w:pPr>
            <w:r>
              <w:rPr>
                <w:rFonts w:ascii="Calibri" w:cs="Calibri" w:eastAsia="Calibri" w:hAnsi="Calibri"/>
                <w:b/>
                <w:bCs/>
                <w:color w:val="D4AF37"/>
                <w:sz w:val="20"/>
                <w:szCs w:val="20"/>
              </w:rPr>
              <w:t xml:space="preserve">Threshold</w:t>
            </w:r>
          </w:p>
        </w:tc>
        <w:tc>
          <w:tcPr>
            <w:tcW w:type="dxa" w:w="4560"/>
            <w:shd w:fill="0C0C0C" w:val="clear"/>
          </w:tcPr>
          <w:p>
            <w:pPr>
              <w:spacing w:after="60" w:before="60"/>
            </w:pPr>
            <w:r>
              <w:rPr>
                <w:rFonts w:ascii="Calibri" w:cs="Calibri" w:eastAsia="Calibri" w:hAnsi="Calibri"/>
                <w:b/>
                <w:bCs/>
                <w:color w:val="D4AF37"/>
                <w:sz w:val="20"/>
                <w:szCs w:val="20"/>
              </w:rPr>
              <w:t xml:space="preserve">Required Approvers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ACH / check payment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Within DOA</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Budget owner per matrix</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Wire transfer (domestic)</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&lt; $100K</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Two authorized signatories</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Wire transfer (domestic)</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&gt; $100K</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Two signatories including Treasurer or CFO</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Wire transfer (international)</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Two signatories including Treasurer or CFO + OFAC check</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Payroll funding</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Controller + Treasurer</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Tax payment</w:t>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Tax Director + Controller</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Debt service payment</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All</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Treasurer + CFO</w:t>
            </w:r>
          </w:p>
        </w:tc>
      </w:tr>
    </w:tbl>
    <w:p>
      <w:pPr>
        <w:pStyle w:val="Heading2"/>
        <w:spacing w:after="150" w:before="300"/>
      </w:pPr>
      <w:r>
        <w:rPr>
          <w:rFonts w:ascii="Georgia" w:cs="Georgia" w:eastAsia="Georgia" w:hAnsi="Georgia"/>
          <w:b/>
          <w:bCs/>
          <w:color w:val="333333"/>
          <w:sz w:val="26"/>
          <w:szCs w:val="26"/>
        </w:rPr>
        <w:t xml:space="preserve">5.3 Emergency Authorization</w:t>
      </w:r>
    </w:p>
    <w:p>
      <w:pPr>
        <w:spacing w:after="150" w:before="0"/>
        <w:jc w:val="both"/>
      </w:pPr>
      <w:r>
        <w:rPr>
          <w:rFonts w:ascii="Calibri" w:cs="Calibri" w:eastAsia="Calibri" w:hAnsi="Calibri"/>
          <w:color w:val="333333"/>
          <w:sz w:val="22"/>
          <w:szCs w:val="22"/>
        </w:rPr>
        <w:t xml:space="preserve">When the authorized approver is unavailable and the transaction is time-critical, the following emergency procedures apply:</w:t>
      </w:r>
    </w:p>
    <w:p>
      <w:pPr>
        <w:spacing w:after="80"/>
        <w:ind w:left="720"/>
      </w:pPr>
      <w:r>
        <w:rPr>
          <w:rFonts w:ascii="Calibri" w:cs="Calibri" w:eastAsia="Calibri" w:hAnsi="Calibri"/>
          <w:b/>
          <w:bCs/>
          <w:color w:val="D4AF37"/>
          <w:sz w:val="22"/>
          <w:szCs w:val="22"/>
        </w:rPr>
        <w:t xml:space="preserve">1.  </w:t>
      </w:r>
      <w:r>
        <w:rPr>
          <w:rFonts w:ascii="Calibri" w:cs="Calibri" w:eastAsia="Calibri" w:hAnsi="Calibri"/>
          <w:color w:val="333333"/>
          <w:sz w:val="22"/>
          <w:szCs w:val="22"/>
        </w:rPr>
        <w:t xml:space="preserve">Contact the next-higher authority in the chain</w:t>
      </w:r>
    </w:p>
    <w:p>
      <w:pPr>
        <w:spacing w:after="80"/>
        <w:ind w:left="720"/>
      </w:pPr>
      <w:r>
        <w:rPr>
          <w:rFonts w:ascii="Calibri" w:cs="Calibri" w:eastAsia="Calibri" w:hAnsi="Calibri"/>
          <w:b/>
          <w:bCs/>
          <w:color w:val="D4AF37"/>
          <w:sz w:val="22"/>
          <w:szCs w:val="22"/>
        </w:rPr>
        <w:t xml:space="preserve">2.  </w:t>
      </w:r>
      <w:r>
        <w:rPr>
          <w:rFonts w:ascii="Calibri" w:cs="Calibri" w:eastAsia="Calibri" w:hAnsi="Calibri"/>
          <w:color w:val="333333"/>
          <w:sz w:val="22"/>
          <w:szCs w:val="22"/>
        </w:rPr>
        <w:t xml:space="preserve">If no higher authority is available, the Controller may authorize up to [$100K] with documented justification</w:t>
      </w:r>
    </w:p>
    <w:p>
      <w:pPr>
        <w:spacing w:after="80"/>
        <w:ind w:left="720"/>
      </w:pPr>
      <w:r>
        <w:rPr>
          <w:rFonts w:ascii="Calibri" w:cs="Calibri" w:eastAsia="Calibri" w:hAnsi="Calibri"/>
          <w:b/>
          <w:bCs/>
          <w:color w:val="D4AF37"/>
          <w:sz w:val="22"/>
          <w:szCs w:val="22"/>
        </w:rPr>
        <w:t xml:space="preserve">3.  </w:t>
      </w:r>
      <w:r>
        <w:rPr>
          <w:rFonts w:ascii="Calibri" w:cs="Calibri" w:eastAsia="Calibri" w:hAnsi="Calibri"/>
          <w:color w:val="333333"/>
          <w:sz w:val="22"/>
          <w:szCs w:val="22"/>
        </w:rPr>
        <w:t xml:space="preserve">All emergency authorizations must be ratified by the original approver within [48] hours</w:t>
      </w:r>
    </w:p>
    <w:p>
      <w:pPr>
        <w:spacing w:after="80"/>
        <w:ind w:left="720"/>
      </w:pPr>
      <w:r>
        <w:rPr>
          <w:rFonts w:ascii="Calibri" w:cs="Calibri" w:eastAsia="Calibri" w:hAnsi="Calibri"/>
          <w:b/>
          <w:bCs/>
          <w:color w:val="D4AF37"/>
          <w:sz w:val="22"/>
          <w:szCs w:val="22"/>
        </w:rPr>
        <w:t xml:space="preserve">4.  </w:t>
      </w:r>
      <w:r>
        <w:rPr>
          <w:rFonts w:ascii="Calibri" w:cs="Calibri" w:eastAsia="Calibri" w:hAnsi="Calibri"/>
          <w:color w:val="333333"/>
          <w:sz w:val="22"/>
          <w:szCs w:val="22"/>
        </w:rPr>
        <w:t xml:space="preserve">Emergency authorizations shall be logged and reported to the CFO monthly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6. Approval Authorities &amp; Thresholds</w:t>
      </w:r>
    </w:p>
    <w:p>
      <w:pPr>
        <w:spacing w:after="150" w:before="0"/>
        <w:jc w:val="both"/>
      </w:pPr>
      <w:r>
        <w:rPr>
          <w:rFonts w:ascii="Calibri" w:cs="Calibri" w:eastAsia="Calibri" w:hAnsi="Calibri"/>
          <w:color w:val="333333"/>
          <w:sz w:val="22"/>
          <w:szCs w:val="22"/>
        </w:rPr>
        <w:t xml:space="preserve">See Section 3.2 (Master Approval Matrix), Section 5.1 (Category-Specific Authorities), and Section 5.2 (Payment Authorities) for the complete DOA framework.</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7. Exceptions &amp; Escalation</w:t>
      </w:r>
    </w:p>
    <w:p>
      <w:pPr>
        <w:spacing w:after="150" w:before="0"/>
        <w:jc w:val="both"/>
      </w:pPr>
      <w:r>
        <w:rPr>
          <w:rFonts w:ascii="Calibri" w:cs="Calibri" w:eastAsia="Calibri" w:hAnsi="Calibri"/>
          <w:color w:val="333333"/>
          <w:sz w:val="22"/>
          <w:szCs w:val="22"/>
        </w:rPr>
        <w:t xml:space="preserve">There are no exceptions to the DOA policy. All financial commitments must be approved by an authorized individual. Transactions processed without proper authorization are policy violations subject to: reversal of the transaction (if possible), disciplinary action for the individual who made the unauthorized commitment, and investigation by Internal Audit to determine whether additional violations exist.</w:t>
      </w:r>
    </w:p>
    <w:p>
      <w:pPr>
        <w:pStyle w:val="Heading2"/>
        <w:spacing w:after="150" w:before="300"/>
      </w:pPr>
      <w:r>
        <w:rPr>
          <w:rFonts w:ascii="Georgia" w:cs="Georgia" w:eastAsia="Georgia" w:hAnsi="Georgia"/>
          <w:b/>
          <w:bCs/>
          <w:color w:val="333333"/>
          <w:sz w:val="26"/>
          <w:szCs w:val="26"/>
        </w:rPr>
        <w:t xml:space="preserve">7.1 Violation Reporting</w:t>
      </w:r>
    </w:p>
    <w:p>
      <w:pPr>
        <w:spacing w:after="150" w:before="0"/>
        <w:jc w:val="both"/>
      </w:pPr>
      <w:r>
        <w:rPr>
          <w:rFonts w:ascii="Calibri" w:cs="Calibri" w:eastAsia="Calibri" w:hAnsi="Calibri"/>
          <w:color w:val="333333"/>
          <w:sz w:val="22"/>
          <w:szCs w:val="22"/>
        </w:rPr>
        <w:t xml:space="preserve">DOA violations shall be reported to the Controller immediately. The Controller shall: document the violation, assess the financial impact, determine root cause, recommend corrective action, and report to the CFO. Repeated or material violations shall be reported to the Audit Committee.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8. Compliance Monitoring &amp; Testing</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System-enforced approval workflows in ERP (cannot bypass DOA thresholds)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Monthly sample testing of approved transactions vs. DOA authority by Internal Audit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Quarterly review of sub-delegation activity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Annual DOA matrix review and update for organizational changes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Semi-annual review of transaction splitting patterns</w:t>
      </w:r>
    </w:p>
    <w:p>
      <w:pPr>
        <w:pStyle w:val="Heading2"/>
        <w:spacing w:after="150" w:before="300"/>
      </w:pPr>
      <w:r>
        <w:rPr>
          <w:rFonts w:ascii="Georgia" w:cs="Georgia" w:eastAsia="Georgia" w:hAnsi="Georgia"/>
          <w:b/>
          <w:bCs/>
          <w:color w:val="333333"/>
          <w:sz w:val="26"/>
          <w:szCs w:val="26"/>
        </w:rPr>
        <w:t xml:space="preserve">8.1 Key Metrics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Metric</w:t>
            </w:r>
          </w:p>
        </w:tc>
        <w:tc>
          <w:tcPr>
            <w:tcW w:type="dxa" w:w="6160"/>
            <w:shd w:fill="0C0C0C" w:val="clear"/>
          </w:tcPr>
          <w:p>
            <w:pPr>
              <w:spacing w:after="60" w:before="60"/>
            </w:pPr>
            <w:r>
              <w:rPr>
                <w:rFonts w:ascii="Calibri" w:cs="Calibri" w:eastAsia="Calibri" w:hAnsi="Calibri"/>
                <w:b/>
                <w:bCs/>
                <w:color w:val="D4AF37"/>
                <w:sz w:val="20"/>
                <w:szCs w:val="20"/>
              </w:rPr>
              <w:t xml:space="preserve">Target</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DOA compliance rate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Transactions processed without proper approval</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Zero</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Emergency authorization frequency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&lt; [5] per quarter</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DOA matrix currency (last update)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Within 6 months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System enforcement coverage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100% of transaction types</w:t>
            </w:r>
          </w:p>
        </w:tc>
      </w:tr>
    </w:tbl>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9. Related Policies &amp; References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Procurement &amp; Purchasing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Accounts Payable &amp; Disbursement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Cash &amp; Treasury Management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Capital Allocation &amp; CapEx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Expense Reimbursement &amp; Travel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Internal Controls &amp; SOX Compliance Policy</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10. Appendices</w:t>
      </w:r>
    </w:p>
    <w:p>
      <w:pPr>
        <w:pStyle w:val="Heading2"/>
        <w:spacing w:after="150" w:before="300"/>
      </w:pPr>
      <w:r>
        <w:rPr>
          <w:rFonts w:ascii="Georgia" w:cs="Georgia" w:eastAsia="Georgia" w:hAnsi="Georgia"/>
          <w:b/>
          <w:bCs/>
          <w:color w:val="333333"/>
          <w:sz w:val="26"/>
          <w:szCs w:val="26"/>
        </w:rPr>
        <w:t xml:space="preserve">Appendix A — DOA Quick Reference Card</w:t>
      </w:r>
    </w:p>
    <w:p>
      <w:pPr>
        <w:spacing w:after="150" w:before="0"/>
        <w:jc w:val="both"/>
      </w:pPr>
      <w:r>
        <w:rPr>
          <w:rFonts w:ascii="Calibri" w:cs="Calibri" w:eastAsia="Calibri" w:hAnsi="Calibri"/>
          <w:color w:val="333333"/>
          <w:sz w:val="22"/>
          <w:szCs w:val="22"/>
        </w:rPr>
        <w:t xml:space="preserve">A wallet-sized or desktop reference card summarizing the key DOA thresholds for each role. Updated annually and distributed to all managers and above.</w:t>
      </w:r>
    </w:p>
    <w:p>
      <w:pPr>
        <w:pStyle w:val="Heading2"/>
        <w:spacing w:after="150" w:before="300"/>
      </w:pPr>
      <w:r>
        <w:rPr>
          <w:rFonts w:ascii="Georgia" w:cs="Georgia" w:eastAsia="Georgia" w:hAnsi="Georgia"/>
          <w:b/>
          <w:bCs/>
          <w:color w:val="333333"/>
          <w:sz w:val="26"/>
          <w:szCs w:val="26"/>
        </w:rPr>
        <w:t xml:space="preserve">Appendix B — Sub-Delegation Form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Field</w:t>
            </w:r>
          </w:p>
        </w:tc>
        <w:tc>
          <w:tcPr>
            <w:tcW w:type="dxa" w:w="61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Delegator Name and Title</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The individual transferring authority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Delegate Name and Title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The individual receiving authority</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Authority Level</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Maximum dollar amount (cannot exceed delegator's own authority)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Effective Dates</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Start and end date of delegation (max 30 days)</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Scope Limitations</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Any restrictions on the delegated authority</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Delegator Signature</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Signed before the effective date</w:t>
            </w:r>
          </w:p>
        </w:tc>
      </w:tr>
    </w:tbl>
    <w:p>
      <w:pPr>
        <w:pStyle w:val="Heading2"/>
        <w:spacing w:after="150" w:before="300"/>
      </w:pPr>
      <w:r>
        <w:rPr>
          <w:rFonts w:ascii="Georgia" w:cs="Georgia" w:eastAsia="Georgia" w:hAnsi="Georgia"/>
          <w:b/>
          <w:bCs/>
          <w:color w:val="333333"/>
          <w:sz w:val="26"/>
          <w:szCs w:val="26"/>
        </w:rPr>
        <w:t xml:space="preserve">Appendix C — Annual DOA Review Checklist</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organizational changes reflected in the matrix</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Threshold amounts appropriate for current business scale</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System workflows updated to match the approved matrix</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All employees with approval authority have acknowledged the policy</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Sub-delegation records reviewed and expired delegations removed</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Violation log reviewed for systemic issues</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11. Digital Authorization and Workflow</w:t>
      </w:r>
    </w:p>
    <w:p>
      <w:pPr>
        <w:pStyle w:val="Heading2"/>
        <w:spacing w:after="150" w:before="300"/>
      </w:pPr>
      <w:r>
        <w:rPr>
          <w:rFonts w:ascii="Georgia" w:cs="Georgia" w:eastAsia="Georgia" w:hAnsi="Georgia"/>
          <w:b/>
          <w:bCs/>
          <w:color w:val="333333"/>
          <w:sz w:val="26"/>
          <w:szCs w:val="26"/>
        </w:rPr>
        <w:t xml:space="preserve">11.1 Electronic Approval Systems</w:t>
      </w:r>
    </w:p>
    <w:p>
      <w:pPr>
        <w:spacing w:after="150" w:before="0"/>
        <w:jc w:val="both"/>
      </w:pPr>
      <w:r>
        <w:rPr>
          <w:rFonts w:ascii="Calibri" w:cs="Calibri" w:eastAsia="Calibri" w:hAnsi="Calibri"/>
          <w:color w:val="333333"/>
          <w:sz w:val="22"/>
          <w:szCs w:val="22"/>
        </w:rPr>
        <w:t xml:space="preserve">[Company Name] shall implement electronic approval workflows in all financial systems to enforce DOA thresholds. Electronic approvals shall: verify the approver's identity through system authentication, confirm the approver has authority at or above the transaction amount, route transactions to the correct approver based on DOA rules, maintain an immutable audit trail of all approval actions, and provide real-time visibility into pending approvals.</w:t>
      </w:r>
    </w:p>
    <w:p>
      <w:pPr>
        <w:pStyle w:val="Heading2"/>
        <w:spacing w:after="150" w:before="300"/>
      </w:pPr>
      <w:r>
        <w:rPr>
          <w:rFonts w:ascii="Georgia" w:cs="Georgia" w:eastAsia="Georgia" w:hAnsi="Georgia"/>
          <w:b/>
          <w:bCs/>
          <w:color w:val="333333"/>
          <w:sz w:val="26"/>
          <w:szCs w:val="26"/>
        </w:rPr>
        <w:t xml:space="preserve">11.2 Mobile Approvals</w:t>
      </w:r>
    </w:p>
    <w:p>
      <w:pPr>
        <w:spacing w:after="150" w:before="0"/>
        <w:jc w:val="both"/>
      </w:pPr>
      <w:r>
        <w:rPr>
          <w:rFonts w:ascii="Calibri" w:cs="Calibri" w:eastAsia="Calibri" w:hAnsi="Calibri"/>
          <w:color w:val="333333"/>
          <w:sz w:val="22"/>
          <w:szCs w:val="22"/>
        </w:rPr>
        <w:t xml:space="preserve">To prevent business process delays, authorized approvers may approve transactions via mobile applications when: the mobile app provides the same transaction details as the desktop interface, multi-factor authentication is required for mobile approval, the approval is captured in the same audit trail as desktop approvals, and the transaction details are visible (not just a blind approve button).</w:t>
      </w:r>
    </w:p>
    <w:p>
      <w:pPr>
        <w:pStyle w:val="Heading2"/>
        <w:spacing w:after="150" w:before="300"/>
      </w:pPr>
      <w:r>
        <w:rPr>
          <w:rFonts w:ascii="Georgia" w:cs="Georgia" w:eastAsia="Georgia" w:hAnsi="Georgia"/>
          <w:b/>
          <w:bCs/>
          <w:color w:val="333333"/>
          <w:sz w:val="26"/>
          <w:szCs w:val="26"/>
        </w:rPr>
        <w:t xml:space="preserve">11.3 Batch and Standing Approvals</w:t>
      </w:r>
    </w:p>
    <w:p>
      <w:pPr>
        <w:spacing w:after="150" w:before="0"/>
        <w:jc w:val="both"/>
      </w:pPr>
      <w:r>
        <w:rPr>
          <w:rFonts w:ascii="Calibri" w:cs="Calibri" w:eastAsia="Calibri" w:hAnsi="Calibri"/>
          <w:color w:val="333333"/>
          <w:sz w:val="22"/>
          <w:szCs w:val="22"/>
        </w:rPr>
        <w:t xml:space="preserve">Certain recurring transactions may receive standing approval to reduce administrative burden:</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Recurring vendor payments within contracted amounts (e.g., rent, utilities, subscriptions)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Payroll processing within budgeted headcount and compensation rates</w:t>
      </w:r>
    </w:p>
    <w:p>
      <w:pPr>
        <w:spacing w:after="80"/>
        <w:ind w:left="720"/>
      </w:pPr>
      <w:r>
        <w:rPr>
          <w:rFonts w:ascii="Calibri" w:cs="Calibri" w:eastAsia="Calibri" w:hAnsi="Calibri"/>
          <w:color w:val="D4AF37"/>
          <w:sz w:val="22"/>
          <w:szCs w:val="22"/>
        </w:rPr>
        <w:t xml:space="preserve">•  </w:t>
      </w:r>
      <w:r>
        <w:rPr>
          <w:rFonts w:ascii="Calibri" w:cs="Calibri" w:eastAsia="Calibri" w:hAnsi="Calibri"/>
          <w:color w:val="333333"/>
          <w:sz w:val="22"/>
          <w:szCs w:val="22"/>
        </w:rPr>
        <w:t xml:space="preserve">Standard intercompany settlements within approved schedules</w:t>
      </w:r>
    </w:p>
    <w:p>
      <w:pPr>
        <w:spacing w:after="150" w:before="0"/>
        <w:jc w:val="both"/>
      </w:pPr>
      <w:r>
        <w:rPr>
          <w:rFonts w:ascii="Calibri" w:cs="Calibri" w:eastAsia="Calibri" w:hAnsi="Calibri"/>
          <w:color w:val="333333"/>
          <w:sz w:val="22"/>
          <w:szCs w:val="22"/>
        </w:rPr>
        <w:t xml:space="preserve">Standing approvals must be: documented with specific parameters, reviewed and renewed annually, and revocable by the Controller at any time. Any transaction exceeding standing approval parameters reverts to the normal DOA workflow.</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12. International Considerations</w:t>
      </w:r>
    </w:p>
    <w:p>
      <w:pPr>
        <w:pStyle w:val="Heading2"/>
        <w:spacing w:after="150" w:before="300"/>
      </w:pPr>
      <w:r>
        <w:rPr>
          <w:rFonts w:ascii="Georgia" w:cs="Georgia" w:eastAsia="Georgia" w:hAnsi="Georgia"/>
          <w:b/>
          <w:bCs/>
          <w:color w:val="333333"/>
          <w:sz w:val="26"/>
          <w:szCs w:val="26"/>
        </w:rPr>
        <w:t xml:space="preserve">12.1 Local Authority Requirements</w:t>
      </w:r>
    </w:p>
    <w:p>
      <w:pPr>
        <w:spacing w:after="150" w:before="0"/>
        <w:jc w:val="both"/>
      </w:pPr>
      <w:r>
        <w:rPr>
          <w:rFonts w:ascii="Calibri" w:cs="Calibri" w:eastAsia="Calibri" w:hAnsi="Calibri"/>
          <w:color w:val="333333"/>
          <w:sz w:val="22"/>
          <w:szCs w:val="22"/>
        </w:rPr>
        <w:t xml:space="preserve">Subsidiaries in certain jurisdictions may have local legal requirements for authorization that supplement this policy. Local requirements that are more restrictive than this policy shall be followed. Local requirements that are less restrictive do not override this policy — the more restrictive standard applies. The Controller shall maintain a matrix of local authorization requirements by jurisdiction.</w:t>
      </w:r>
    </w:p>
    <w:p>
      <w:pPr>
        <w:pStyle w:val="Heading2"/>
        <w:spacing w:after="150" w:before="300"/>
      </w:pPr>
      <w:r>
        <w:rPr>
          <w:rFonts w:ascii="Georgia" w:cs="Georgia" w:eastAsia="Georgia" w:hAnsi="Georgia"/>
          <w:b/>
          <w:bCs/>
          <w:color w:val="333333"/>
          <w:sz w:val="26"/>
          <w:szCs w:val="26"/>
        </w:rPr>
        <w:t xml:space="preserve">12.2 Currency and Threshold Conversion</w:t>
      </w:r>
    </w:p>
    <w:p>
      <w:pPr>
        <w:spacing w:after="150" w:before="0"/>
        <w:jc w:val="both"/>
      </w:pPr>
      <w:r>
        <w:rPr>
          <w:rFonts w:ascii="Calibri" w:cs="Calibri" w:eastAsia="Calibri" w:hAnsi="Calibri"/>
          <w:color w:val="333333"/>
          <w:sz w:val="22"/>
          <w:szCs w:val="22"/>
        </w:rPr>
        <w:t xml:space="preserve">DOA thresholds are denominated in US dollars. For transactions in foreign currencies, the threshold comparison shall use the exchange rate at the time of approval. Significant currency fluctuation may warrant a threshold review to ensure the DOA matrix remains appropriate for local business conditions.</w:t>
      </w:r>
    </w:p>
    <w:p>
      <w:pPr>
        <w:pStyle w:val="Heading2"/>
        <w:spacing w:after="150" w:before="300"/>
      </w:pPr>
      <w:r>
        <w:rPr>
          <w:rFonts w:ascii="Georgia" w:cs="Georgia" w:eastAsia="Georgia" w:hAnsi="Georgia"/>
          <w:b/>
          <w:bCs/>
          <w:color w:val="333333"/>
          <w:sz w:val="26"/>
          <w:szCs w:val="26"/>
        </w:rPr>
        <w:t xml:space="preserve">12.3 Joint Venture and Minority Interest Authorities</w:t>
      </w:r>
    </w:p>
    <w:p>
      <w:pPr>
        <w:spacing w:after="150" w:before="0"/>
        <w:jc w:val="both"/>
      </w:pPr>
      <w:r>
        <w:rPr>
          <w:rFonts w:ascii="Calibri" w:cs="Calibri" w:eastAsia="Calibri" w:hAnsi="Calibri"/>
          <w:color w:val="333333"/>
          <w:sz w:val="22"/>
          <w:szCs w:val="22"/>
        </w:rPr>
        <w:t xml:space="preserve">Transactions involving joint ventures or minority-owned subsidiaries may require additional approvals from: JV partners per the JV agreement, minority shareholders per shareholder agreements, and local boards of directors per local corporate governance requirements. These additional requirements supplement (do not replace) the DOA matrix.</w:t>
      </w:r>
    </w:p>
    <w:p>
      <w:pPr>
        <w:pStyle w:val="Heading2"/>
        <w:spacing w:after="150" w:before="300"/>
      </w:pPr>
      <w:r>
        <w:rPr>
          <w:rFonts w:ascii="Georgia" w:cs="Georgia" w:eastAsia="Georgia" w:hAnsi="Georgia"/>
          <w:b/>
          <w:bCs/>
          <w:color w:val="333333"/>
          <w:sz w:val="26"/>
          <w:szCs w:val="26"/>
        </w:rPr>
        <w:t xml:space="preserve">12.4 Power of Attorney</w:t>
      </w:r>
    </w:p>
    <w:p>
      <w:pPr>
        <w:spacing w:after="150" w:before="0"/>
        <w:jc w:val="both"/>
      </w:pPr>
      <w:r>
        <w:rPr>
          <w:rFonts w:ascii="Calibri" w:cs="Calibri" w:eastAsia="Calibri" w:hAnsi="Calibri"/>
          <w:color w:val="333333"/>
          <w:sz w:val="22"/>
          <w:szCs w:val="22"/>
        </w:rPr>
        <w:t xml:space="preserve">[Company Name] may grant limited power of attorney to designated individuals for specific purposes (signing authority for bank accounts, tax filings, regulatory submissions). All powers of attorney must be: approved by the CFO and Legal, documented in a centralized register, limited in scope and duration, and revoked upon the individual's departure or role change.</w:t>
      </w:r>
    </w:p>
    <w:p>
      <w:r>
        <w:br w:type="page"/>
      </w:r>
    </w:p>
    <w:p>
      <w:pPr>
        <w:pStyle w:val="Heading1"/>
        <w:pBdr>
          <w:bottom w:val="single" w:color="D4AF37" w:sz="4"/>
        </w:pBdr>
        <w:spacing w:after="200" w:before="400"/>
      </w:pPr>
      <w:r>
        <w:rPr>
          <w:rFonts w:ascii="Georgia" w:cs="Georgia" w:eastAsia="Georgia" w:hAnsi="Georgia"/>
          <w:b/>
          <w:bCs/>
          <w:color w:val="0C0C0C"/>
          <w:sz w:val="32"/>
          <w:szCs w:val="32"/>
        </w:rPr>
        <w:t xml:space="preserve">Revision History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2400"/>
        <w:gridCol w:w="4560"/>
      </w:tblGrid>
      <w:tr>
        <w:tc>
          <w:tcPr>
            <w:tcW w:type="dxa" w:w="2400"/>
            <w:shd w:fill="0C0C0C" w:val="clear"/>
          </w:tcPr>
          <w:p>
            <w:pPr>
              <w:spacing w:after="60" w:before="60"/>
            </w:pPr>
            <w:r>
              <w:rPr>
                <w:rFonts w:ascii="Calibri" w:cs="Calibri" w:eastAsia="Calibri" w:hAnsi="Calibri"/>
                <w:b/>
                <w:bCs/>
                <w:color w:val="D4AF37"/>
                <w:sz w:val="20"/>
                <w:szCs w:val="20"/>
              </w:rPr>
              <w:t xml:space="preserve">Version</w:t>
            </w:r>
          </w:p>
        </w:tc>
        <w:tc>
          <w:tcPr>
            <w:tcW w:type="dxa" w:w="2400"/>
            <w:shd w:fill="0C0C0C" w:val="clear"/>
          </w:tcPr>
          <w:p>
            <w:pPr>
              <w:spacing w:after="60" w:before="60"/>
            </w:pPr>
            <w:r>
              <w:rPr>
                <w:rFonts w:ascii="Calibri" w:cs="Calibri" w:eastAsia="Calibri" w:hAnsi="Calibri"/>
                <w:b/>
                <w:bCs/>
                <w:color w:val="D4AF37"/>
                <w:sz w:val="20"/>
                <w:szCs w:val="20"/>
              </w:rPr>
              <w:t xml:space="preserve">Date</w:t>
            </w:r>
          </w:p>
        </w:tc>
        <w:tc>
          <w:tcPr>
            <w:tcW w:type="dxa" w:w="4560"/>
            <w:shd w:fill="0C0C0C" w:val="clear"/>
          </w:tcPr>
          <w:p>
            <w:pPr>
              <w:spacing w:after="60" w:before="60"/>
            </w:pPr>
            <w:r>
              <w:rPr>
                <w:rFonts w:ascii="Calibri" w:cs="Calibri" w:eastAsia="Calibri" w:hAnsi="Calibri"/>
                <w:b/>
                <w:bCs/>
                <w:color w:val="D4AF37"/>
                <w:sz w:val="20"/>
                <w:szCs w:val="20"/>
              </w:rPr>
              <w:t xml:space="preserve">Description</w:t>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1.0</w:t>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[Effective Date]</w:t>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Initial policy document</w:t>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2400"/>
            <w:shd w:fill="FFFFFF" w:val="clear"/>
          </w:tcPr>
          <w:p>
            <w:pPr>
              <w:spacing w:after="60" w:before="60"/>
            </w:pPr>
            <w:r>
              <w:rPr>
                <w:rFonts w:ascii="Calibri" w:cs="Calibri" w:eastAsia="Calibri" w:hAnsi="Calibri"/>
                <w:b w:val="false"/>
                <w:bCs w:val="false"/>
                <w:color w:val="333333"/>
                <w:sz w:val="20"/>
                <w:szCs w:val="20"/>
              </w:rPr>
              <w:t xml:space="preserve"/>
            </w:r>
          </w:p>
        </w:tc>
        <w:tc>
          <w:tcPr>
            <w:tcW w:type="dxa" w:w="4560"/>
            <w:shd w:fill="FFFFFF" w:val="clear"/>
          </w:tcPr>
          <w:p>
            <w:pPr>
              <w:spacing w:after="60" w:before="60"/>
            </w:pPr>
            <w:r>
              <w:rPr>
                <w:rFonts w:ascii="Calibri" w:cs="Calibri" w:eastAsia="Calibri" w:hAnsi="Calibri"/>
                <w:b w:val="false"/>
                <w:bCs w:val="false"/>
                <w:color w:val="333333"/>
                <w:sz w:val="20"/>
                <w:szCs w:val="20"/>
              </w:rPr>
              <w:t xml:space="preserve"/>
            </w:r>
          </w:p>
        </w:tc>
      </w:tr>
      <w:tr>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2400"/>
            <w:shd w:fill="F5F5F5" w:val="clear"/>
          </w:tcPr>
          <w:p>
            <w:pPr>
              <w:spacing w:after="60" w:before="60"/>
            </w:pPr>
            <w:r>
              <w:rPr>
                <w:rFonts w:ascii="Calibri" w:cs="Calibri" w:eastAsia="Calibri" w:hAnsi="Calibri"/>
                <w:b w:val="false"/>
                <w:bCs w:val="false"/>
                <w:color w:val="333333"/>
                <w:sz w:val="20"/>
                <w:szCs w:val="20"/>
              </w:rPr>
              <w:t xml:space="preserve"/>
            </w:r>
          </w:p>
        </w:tc>
        <w:tc>
          <w:tcPr>
            <w:tcW w:type="dxa" w:w="4560"/>
            <w:shd w:fill="F5F5F5" w:val="clear"/>
          </w:tcPr>
          <w:p>
            <w:pPr>
              <w:spacing w:after="60" w:before="60"/>
            </w:pPr>
            <w:r>
              <w:rPr>
                <w:rFonts w:ascii="Calibri" w:cs="Calibri" w:eastAsia="Calibri" w:hAnsi="Calibri"/>
                <w:b w:val="false"/>
                <w:bCs w:val="false"/>
                <w:color w:val="333333"/>
                <w:sz w:val="20"/>
                <w:szCs w:val="20"/>
              </w:rPr>
              <w:t xml:space="preserve"/>
            </w:r>
          </w:p>
        </w:tc>
      </w:tr>
    </w:tbl>
    <w:p>
      <w:pPr>
        <w:spacing w:after="150" w:before="0"/>
        <w:jc w:val="both"/>
      </w:pPr>
      <w:r>
        <w:rPr>
          <w:rFonts w:ascii="Calibri" w:cs="Calibri" w:eastAsia="Calibri" w:hAnsi="Calibri"/>
          <w:color w:val="333333"/>
          <w:sz w:val="22"/>
          <w:szCs w:val="22"/>
        </w:rPr>
        <w:t xml:space="preserve"> </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6160"/>
      </w:tblGrid>
      <w:tr>
        <w:tc>
          <w:tcPr>
            <w:tcW w:type="dxa" w:w="3200"/>
            <w:shd w:fill="0C0C0C" w:val="clear"/>
          </w:tcPr>
          <w:p>
            <w:pPr>
              <w:spacing w:after="60" w:before="60"/>
            </w:pPr>
            <w:r>
              <w:rPr>
                <w:rFonts w:ascii="Calibri" w:cs="Calibri" w:eastAsia="Calibri" w:hAnsi="Calibri"/>
                <w:b/>
                <w:bCs/>
                <w:color w:val="D4AF37"/>
                <w:sz w:val="20"/>
                <w:szCs w:val="20"/>
              </w:rPr>
              <w:t xml:space="preserve">Role</w:t>
            </w:r>
          </w:p>
        </w:tc>
        <w:tc>
          <w:tcPr>
            <w:tcW w:type="dxa" w:w="6160"/>
            <w:shd w:fill="0C0C0C" w:val="clear"/>
          </w:tcPr>
          <w:p>
            <w:pPr>
              <w:spacing w:after="60" w:before="60"/>
            </w:pPr>
            <w:r>
              <w:rPr>
                <w:rFonts w:ascii="Calibri" w:cs="Calibri" w:eastAsia="Calibri" w:hAnsi="Calibri"/>
                <w:b/>
                <w:bCs/>
                <w:color w:val="D4AF37"/>
                <w:sz w:val="20"/>
                <w:szCs w:val="20"/>
              </w:rPr>
              <w:t xml:space="preserve">Name / Signature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Prepared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5F5F5" w:val="clear"/>
          </w:tcPr>
          <w:p>
            <w:pPr>
              <w:spacing w:after="60" w:before="60"/>
            </w:pPr>
            <w:r>
              <w:rPr>
                <w:rFonts w:ascii="Calibri" w:cs="Calibri" w:eastAsia="Calibri" w:hAnsi="Calibri"/>
                <w:b w:val="false"/>
                <w:bCs w:val="false"/>
                <w:color w:val="333333"/>
                <w:sz w:val="20"/>
                <w:szCs w:val="20"/>
              </w:rPr>
              <w:t xml:space="preserve">Reviewed By</w:t>
            </w:r>
          </w:p>
        </w:tc>
        <w:tc>
          <w:tcPr>
            <w:tcW w:type="dxa" w:w="6160"/>
            <w:shd w:fill="F5F5F5" w:val="clear"/>
          </w:tcPr>
          <w:p>
            <w:pPr>
              <w:spacing w:after="60" w:before="60"/>
            </w:pPr>
            <w:r>
              <w:rPr>
                <w:rFonts w:ascii="Calibri" w:cs="Calibri" w:eastAsia="Calibri" w:hAnsi="Calibri"/>
                <w:b w:val="false"/>
                <w:bCs w:val="false"/>
                <w:color w:val="333333"/>
                <w:sz w:val="20"/>
                <w:szCs w:val="20"/>
              </w:rPr>
              <w:t xml:space="preserve">[Name], [Title]</w:t>
            </w:r>
          </w:p>
        </w:tc>
      </w:tr>
      <w:tr>
        <w:tc>
          <w:tcPr>
            <w:tcW w:type="dxa" w:w="3200"/>
            <w:shd w:fill="FFFFFF" w:val="clear"/>
          </w:tcPr>
          <w:p>
            <w:pPr>
              <w:spacing w:after="60" w:before="60"/>
            </w:pPr>
            <w:r>
              <w:rPr>
                <w:rFonts w:ascii="Calibri" w:cs="Calibri" w:eastAsia="Calibri" w:hAnsi="Calibri"/>
                <w:b w:val="false"/>
                <w:bCs w:val="false"/>
                <w:color w:val="333333"/>
                <w:sz w:val="20"/>
                <w:szCs w:val="20"/>
              </w:rPr>
              <w:t xml:space="preserve">Approved By</w:t>
            </w:r>
          </w:p>
        </w:tc>
        <w:tc>
          <w:tcPr>
            <w:tcW w:type="dxa" w:w="6160"/>
            <w:shd w:fill="FFFFFF" w:val="clear"/>
          </w:tcPr>
          <w:p>
            <w:pPr>
              <w:spacing w:after="60" w:before="60"/>
            </w:pPr>
            <w:r>
              <w:rPr>
                <w:rFonts w:ascii="Calibri" w:cs="Calibri" w:eastAsia="Calibri" w:hAnsi="Calibri"/>
                <w:b w:val="false"/>
                <w:bCs w:val="false"/>
                <w:color w:val="333333"/>
                <w:sz w:val="20"/>
                <w:szCs w:val="20"/>
              </w:rPr>
              <w:t xml:space="preserve">[CFO Name], Chief Financial Officer</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2A2A" w:sz="2"/>
      </w:pBdr>
      <w:spacing w:before="100"/>
      <w:jc w:val="center"/>
    </w:pPr>
    <w:r>
      <w:rPr>
        <w:rFonts w:ascii="Calibri" w:cs="Calibri" w:eastAsia="Calibri" w:hAnsi="Calibri"/>
        <w:color w:val="9CA3AF"/>
        <w:sz w:val="16"/>
        <w:szCs w:val="16"/>
      </w:rPr>
      <w:t xml:space="preserve">Confidential — [Company Name]  |  Page </w:t>
    </w:r>
    <w:r>
      <w:rPr>
        <w:rFonts w:ascii="Calibri" w:cs="Calibri" w:eastAsia="Calibri" w:hAnsi="Calibri"/>
        <w:color w:val="9CA3AF"/>
        <w:sz w:val="16"/>
        <w:szCs w:val="16"/>
      </w:rPr>
      <w:fldChar w:fldCharType="begin"/>
      <w:instrText xml:space="preserve">PAGE</w:instrText>
      <w:fldChar w:fldCharType="separate"/>
      <w:fldChar w:fldCharType="end"/>
    </w:r>
    <w:r>
      <w:rPr>
        <w:rFonts w:ascii="Calibri" w:cs="Calibri" w:eastAsia="Calibri" w:hAnsi="Calibri"/>
        <w:color w:val="9CA3AF"/>
        <w:sz w:val="16"/>
        <w:szCs w:val="16"/>
      </w:rPr>
      <w:t xml:space="preserve"> of </w:t>
    </w:r>
    <w:r>
      <w:rPr>
        <w:rFonts w:ascii="Calibri" w:cs="Calibri" w:eastAsia="Calibri" w:hAnsi="Calibri"/>
        <w:color w:val="9CA3AF"/>
        <w:sz w:val="16"/>
        <w:szCs w:val="16"/>
      </w:rPr>
      <w:fldChar w:fldCharType="begin"/>
      <w:instrText xml:space="preserve">NUMPAGES</w:instrText>
      <w:fldChar w:fldCharType="separate"/>
      <w:fldChar w:fldCharType="end"/>
    </w:r>
    <w:r>
      <w:rPr>
        <w:rFonts w:ascii="Calibri" w:cs="Calibri" w:eastAsia="Calibri" w:hAnsi="Calibri"/>
        <w:color w:val="D4AF37"/>
        <w:sz w:val="16"/>
        <w:szCs w:val="16"/>
      </w:rPr>
      <w:t xml:space="preserve">  |  EFuturesCFO.com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Calibri" w:cs="Calibri" w:eastAsia="Calibri" w:hAnsi="Calibri"/>
        <w:color w:val="9CA3AF"/>
        <w:sz w:val="16"/>
        <w:szCs w:val="16"/>
      </w:rPr>
      <w:t xml:space="preserve">[Company Name]</w:t>
    </w:r>
    <w:r>
      <w:rPr>
        <w:rFonts w:ascii="Calibri" w:cs="Calibri" w:eastAsia="Calibri" w:hAnsi="Calibri"/>
        <w:color w:val="9CA3AF"/>
        <w:sz w:val="16"/>
        <w:szCs w:val="16"/>
      </w:rPr>
      <w:t xml:space="preserve">  |  </w:t>
    </w:r>
    <w:r>
      <w:rPr>
        <w:rFonts w:ascii="Calibri" w:cs="Calibri" w:eastAsia="Calibri" w:hAnsi="Calibri"/>
        <w:i/>
        <w:iCs/>
        <w:color w:val="9CA3AF"/>
        <w:sz w:val="16"/>
        <w:szCs w:val="16"/>
      </w:rPr>
      <w:t xml:space="preserve">Financial Delegation of Authority Policy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rFonts w:ascii="Georgia" w:cs="Georgia" w:eastAsia="Georgia" w:hAnsi="Georgia"/>
      <w:b/>
      <w:bCs/>
      <w:color w:val="0C0C0C"/>
      <w:sz w:val="32"/>
      <w:szCs w:val="32"/>
    </w:rPr>
  </w:style>
  <w:style w:type="paragraph" w:styleId="Heading2">
    <w:name w:val="Heading 2"/>
    <w:basedOn w:val="Normal"/>
    <w:next w:val="Normal"/>
    <w:qFormat/>
    <w:rPr>
      <w:rFonts w:ascii="Georgia" w:cs="Georgia" w:eastAsia="Georgia" w:hAnsi="Georgia"/>
      <w:b/>
      <w:bCs/>
      <w:color w:val="333333"/>
      <w:sz w:val="26"/>
      <w:szCs w:val="26"/>
    </w:rPr>
  </w:style>
  <w:style w:type="paragraph" w:styleId="Heading3">
    <w:name w:val="Heading 3"/>
    <w:basedOn w:val="Normal"/>
    <w:next w:val="Normal"/>
    <w:qFormat/>
    <w:rPr>
      <w:rFonts w:ascii="Georgia" w:cs="Georgia" w:eastAsia="Georgia" w:hAnsi="Georgia"/>
      <w:b/>
      <w:bCs/>
      <w:color w:val="444444"/>
      <w:sz w:val="22"/>
      <w:szCs w:val="22"/>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2026-07-13T07:26:12.402Z</dcterms:created>
  <dcterms:modified xsi:type="dcterms:W3CDTF">2026-07-13T07:26:12.402Z</dcterms:modified>
</cp:coreProperties>
</file>

<file path=docProps/custom.xml><?xml version="1.0" encoding="utf-8"?>
<Properties xmlns="http://schemas.openxmlformats.org/officeDocument/2006/custom-properties" xmlns:vt="http://schemas.openxmlformats.org/officeDocument/2006/docPropsVTypes"/>
</file>