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Budget &amp; Financial Planning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Budget and Financial Planning Policy establishes the standards, procedures, and governance framework for [Company Name]'s annual budgeting process, rolling forecasts, and long-range strategic financial planning. The policy ensures that financial plans are aligned with strategic objectives, provide meaningful decision-support information, and establish accountability for financial performance.</w:t>
      </w:r>
    </w:p>
    <w:p>
      <w:pPr>
        <w:spacing w:after="150" w:before="0"/>
        <w:jc w:val="both"/>
      </w:pPr>
      <w:r>
        <w:rPr>
          <w:rFonts w:ascii="Calibri" w:cs="Calibri" w:eastAsia="Calibri" w:hAnsi="Calibri"/>
          <w:color w:val="333333"/>
          <w:sz w:val="22"/>
          <w:szCs w:val="22"/>
        </w:rPr>
        <w:t xml:space="preserve">This policy applies to all business units, departments, subsidiaries, and functional areas of [Company Name]. It governs the annual operating budget, capital expenditure budget, headcount plan, cash flow forecast, and any rolling forecast or reforecast processes.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Align financial plans with the company's strategic plan and board-approved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financial targets and accountability for all budget owners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 framework for resource allocation that maximizes value creation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timely identification of financial risks and opportunities through rolling forecasts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capital allocation decisions with rigorous financial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consistent planning process across all business units and geographies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Operating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detailed financial plan for the upcoming fiscal year, approved by the Board.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Rolling Forecast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continuously updated forecast that extends a fixed number of periods beyond the current date (e.g., rolling 4 quarters).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Reforecast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mid-year update to the annual budget reflecting actual results and revised expectations.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Long-Range Plan (LRP)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3-5 year strategic financial plan aligned with the company's strategic initiatives.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Zero-Based Budgeting (ZBB)</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budgeting approach where every expense must be justified for each new period, starting from 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Budget Variance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difference between actual results and budgeted amounts, expressed in dollars and percentage.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plan for capital expenditures, including asset acquisitions, construction projects, and technology investments.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Headcount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detailed plan for staffing levels by department, role, and timing of additions or reductions.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Driver-Based Planning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budgeting approach that links financial outcomes to key operational drivers rather than line-by-line estimation.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Scenario Planning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Modeling multiple possible outcomes (base, upside, downside) to prepare for different business conditions.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Planning Calendar</w:t>
      </w:r>
    </w:p>
    <w:p>
      <w:pPr>
        <w:spacing w:after="150" w:before="0"/>
        <w:jc w:val="both"/>
      </w:pPr>
      <w:r>
        <w:rPr>
          <w:rFonts w:ascii="Calibri" w:cs="Calibri" w:eastAsia="Calibri" w:hAnsi="Calibri"/>
          <w:color w:val="333333"/>
          <w:sz w:val="22"/>
          <w:szCs w:val="22"/>
        </w:rPr>
        <w:t xml:space="preserve">The annual planning cycle shall follow the approved calendar published by FP&amp;A at least [6] months before the start of the fiscal year. Key milestones include: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Milestone</w:t>
            </w:r>
          </w:p>
        </w:tc>
        <w:tc>
          <w:tcPr>
            <w:tcW w:type="dxa" w:w="6160"/>
            <w:shd w:fill="0C0C0C" w:val="clear"/>
          </w:tcPr>
          <w:p>
            <w:pPr>
              <w:spacing w:after="60" w:before="60"/>
            </w:pPr>
            <w:r>
              <w:rPr>
                <w:rFonts w:ascii="Calibri" w:cs="Calibri" w:eastAsia="Calibri" w:hAnsi="Calibri"/>
                <w:b/>
                <w:bCs/>
                <w:color w:val="D4AF37"/>
                <w:sz w:val="20"/>
                <w:szCs w:val="20"/>
              </w:rPr>
              <w:t xml:space="preserve">Timing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Strategic plan and board guidance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 e.g., July]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Budget kickoff and guidelines distribution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 e.g., August]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budget submissions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 e.g., September]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Consolidation and review</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 e.g., October]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Executive team review and challenge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[Month, e.g., November]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Board 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 e.g., December]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Budget loaded into ERP/EPM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Before fiscal year start</w:t>
            </w:r>
          </w:p>
        </w:tc>
      </w:tr>
    </w:tbl>
    <w:p>
      <w:pPr>
        <w:pStyle w:val="Heading2"/>
        <w:spacing w:after="150" w:before="300"/>
      </w:pPr>
      <w:r>
        <w:rPr>
          <w:rFonts w:ascii="Georgia" w:cs="Georgia" w:eastAsia="Georgia" w:hAnsi="Georgia"/>
          <w:b/>
          <w:bCs/>
          <w:color w:val="333333"/>
          <w:sz w:val="26"/>
          <w:szCs w:val="26"/>
        </w:rPr>
        <w:t xml:space="preserve">3.2 Budget Authority</w:t>
      </w:r>
    </w:p>
    <w:p>
      <w:pPr>
        <w:spacing w:after="150" w:before="0"/>
        <w:jc w:val="both"/>
      </w:pPr>
      <w:r>
        <w:rPr>
          <w:rFonts w:ascii="Calibri" w:cs="Calibri" w:eastAsia="Calibri" w:hAnsi="Calibri"/>
          <w:color w:val="333333"/>
          <w:sz w:val="22"/>
          <w:szCs w:val="22"/>
        </w:rPr>
        <w:t xml:space="preserve">Each department head is the budget owner for their area and is accountable for managing actual spending within the approved budget. Budget transfers between departments require Controller approval. Budget increases (additional spending above the approved budget) require CFO approval for amounts up to [threshold] and Board approval for amounts exceeding [threshold].</w:t>
      </w:r>
    </w:p>
    <w:p>
      <w:pPr>
        <w:pStyle w:val="Heading2"/>
        <w:spacing w:after="150" w:before="300"/>
      </w:pPr>
      <w:r>
        <w:rPr>
          <w:rFonts w:ascii="Georgia" w:cs="Georgia" w:eastAsia="Georgia" w:hAnsi="Georgia"/>
          <w:b/>
          <w:bCs/>
          <w:color w:val="333333"/>
          <w:sz w:val="26"/>
          <w:szCs w:val="26"/>
        </w:rPr>
        <w:t xml:space="preserve">3.3 Rolling Forecast</w:t>
      </w:r>
    </w:p>
    <w:p>
      <w:pPr>
        <w:spacing w:after="150" w:before="0"/>
        <w:jc w:val="both"/>
      </w:pPr>
      <w:r>
        <w:rPr>
          <w:rFonts w:ascii="Calibri" w:cs="Calibri" w:eastAsia="Calibri" w:hAnsi="Calibri"/>
          <w:color w:val="333333"/>
          <w:sz w:val="22"/>
          <w:szCs w:val="22"/>
        </w:rPr>
        <w:t xml:space="preserve">[Company Name] shall maintain a rolling [4/6]-quarter forecast updated [monthly/quarterly]. The rolling forecast supplements (and for decision-making purposes may supersede) the annual budget by incorporating the latest operational data, market conditions, and management expectations. The rolling forecast is the primary decision-support tool; the annual budget remains the primary accountability tool.</w:t>
      </w:r>
    </w:p>
    <w:p>
      <w:pPr>
        <w:pStyle w:val="Heading2"/>
        <w:spacing w:after="150" w:before="300"/>
      </w:pPr>
      <w:r>
        <w:rPr>
          <w:rFonts w:ascii="Georgia" w:cs="Georgia" w:eastAsia="Georgia" w:hAnsi="Georgia"/>
          <w:b/>
          <w:bCs/>
          <w:color w:val="333333"/>
          <w:sz w:val="26"/>
          <w:szCs w:val="26"/>
        </w:rPr>
        <w:t xml:space="preserve">3.4 Variance Reporting</w:t>
      </w:r>
    </w:p>
    <w:p>
      <w:pPr>
        <w:spacing w:after="150" w:before="0"/>
        <w:jc w:val="both"/>
      </w:pPr>
      <w:r>
        <w:rPr>
          <w:rFonts w:ascii="Calibri" w:cs="Calibri" w:eastAsia="Calibri" w:hAnsi="Calibri"/>
          <w:color w:val="333333"/>
          <w:sz w:val="22"/>
          <w:szCs w:val="22"/>
        </w:rPr>
        <w:t xml:space="preserve">Budget-to-actual variance analysis shall be prepared monthly and distributed within [X] business days of month-end. All variances exceeding [threshold or percentage] shall include written commentary explaining the root cause, whether the variance is timing or permanent, and the expected full-year impact. Department heads are accountable for explaining their variances and developing mitigation plans for unfavorable permanent variances.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Sets strategic direction and financial targets. Reviews and approves the consolidated budget. Presents the budget to the Board.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planning process. Establishes financial guidelines and targets. Challenges budget submissions. Approves the consolidated budget.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planning process end-to-end. Provides templates, tools, and support. Consolidates submissions. Prepares variance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Heads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 their department budgets. Manage spending within budget. Provide variance explanations. Develop mitigation plans.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Validates budget assumptions against historical data. Ensures GAAP consistency. Reviews headcount and compensation budgets.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compensation data, benefits cost projections, and headcount planning support.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annual budget. Reviews quarterly performance vs. budget. Approves significant budget amendments.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Strategic Planning Input</w:t>
      </w:r>
    </w:p>
    <w:p>
      <w:pPr>
        <w:spacing w:after="150" w:before="0"/>
        <w:jc w:val="both"/>
      </w:pPr>
      <w:r>
        <w:rPr>
          <w:rFonts w:ascii="Calibri" w:cs="Calibri" w:eastAsia="Calibri" w:hAnsi="Calibri"/>
          <w:color w:val="333333"/>
          <w:sz w:val="22"/>
          <w:szCs w:val="22"/>
        </w:rPr>
        <w:t xml:space="preserve">Before the budget cycle begins, the CEO and CFO shall provide strategic planning guidance to all budget owners including: revenue growth targets, margin improvement expectations, headcount growth/reduction parameters, capital investment priorities, cost management focus areas, and key initiative funding levels. This guidance ensures bottom-up budgets align with top-down strategic direction.</w:t>
      </w:r>
    </w:p>
    <w:p>
      <w:pPr>
        <w:pStyle w:val="Heading2"/>
        <w:spacing w:after="150" w:before="300"/>
      </w:pPr>
      <w:r>
        <w:rPr>
          <w:rFonts w:ascii="Georgia" w:cs="Georgia" w:eastAsia="Georgia" w:hAnsi="Georgia"/>
          <w:b/>
          <w:bCs/>
          <w:color w:val="333333"/>
          <w:sz w:val="26"/>
          <w:szCs w:val="26"/>
        </w:rPr>
        <w:t xml:space="preserve">5.2 Revenue Budget</w:t>
      </w:r>
    </w:p>
    <w:p>
      <w:pPr>
        <w:pStyle w:val="Heading3"/>
        <w:spacing w:after="100" w:before="200"/>
      </w:pPr>
      <w:r>
        <w:rPr>
          <w:rFonts w:ascii="Georgia" w:cs="Georgia" w:eastAsia="Georgia" w:hAnsi="Georgia"/>
          <w:b/>
          <w:bCs/>
          <w:color w:val="444444"/>
          <w:sz w:val="22"/>
          <w:szCs w:val="22"/>
        </w:rPr>
        <w:t xml:space="preserve">5.2.1 Revenue Methodology</w:t>
      </w:r>
    </w:p>
    <w:p>
      <w:pPr>
        <w:spacing w:after="150" w:before="0"/>
        <w:jc w:val="both"/>
      </w:pPr>
      <w:r>
        <w:rPr>
          <w:rFonts w:ascii="Calibri" w:cs="Calibri" w:eastAsia="Calibri" w:hAnsi="Calibri"/>
          <w:color w:val="333333"/>
          <w:sz w:val="22"/>
          <w:szCs w:val="22"/>
        </w:rPr>
        <w:t xml:space="preserve">Revenue shall be budgeted using a driver-based approach building from: existing customer base (renewal rates, expansion rates, and churn), new customer acquisition (pipeline, conversion rates, average deal size), pricing assumptions (rate changes, mix shifts), and volume assumptions (units, hours, transactions). Revenue assumptions shall be validated against historical trends and market data.</w:t>
      </w:r>
    </w:p>
    <w:p>
      <w:pPr>
        <w:pStyle w:val="Heading3"/>
        <w:spacing w:after="100" w:before="200"/>
      </w:pPr>
      <w:r>
        <w:rPr>
          <w:rFonts w:ascii="Georgia" w:cs="Georgia" w:eastAsia="Georgia" w:hAnsi="Georgia"/>
          <w:b/>
          <w:bCs/>
          <w:color w:val="444444"/>
          <w:sz w:val="22"/>
          <w:szCs w:val="22"/>
        </w:rPr>
        <w:t xml:space="preserve">5.2.2 Revenue Scenarios</w:t>
      </w:r>
    </w:p>
    <w:p>
      <w:pPr>
        <w:spacing w:after="150" w:before="0"/>
        <w:jc w:val="both"/>
      </w:pPr>
      <w:r>
        <w:rPr>
          <w:rFonts w:ascii="Calibri" w:cs="Calibri" w:eastAsia="Calibri" w:hAnsi="Calibri"/>
          <w:color w:val="333333"/>
          <w:sz w:val="22"/>
          <w:szCs w:val="22"/>
        </w:rPr>
        <w:t xml:space="preserve">FP&amp;A shall prepare three revenue scenarios: base case (management best estimate, probability-weighted), upside case (favorable market conditions, higher win rates), and downside case (economic headwinds, competitive pressure). The base case shall be the approved budget; upside and downside scenarios inform contingency planning.</w:t>
      </w:r>
    </w:p>
    <w:p>
      <w:pPr>
        <w:pStyle w:val="Heading2"/>
        <w:spacing w:after="150" w:before="300"/>
      </w:pPr>
      <w:r>
        <w:rPr>
          <w:rFonts w:ascii="Georgia" w:cs="Georgia" w:eastAsia="Georgia" w:hAnsi="Georgia"/>
          <w:b/>
          <w:bCs/>
          <w:color w:val="333333"/>
          <w:sz w:val="26"/>
          <w:szCs w:val="26"/>
        </w:rPr>
        <w:t xml:space="preserve">5.3 Expense Budget</w:t>
      </w:r>
    </w:p>
    <w:p>
      <w:pPr>
        <w:pStyle w:val="Heading3"/>
        <w:spacing w:after="100" w:before="200"/>
      </w:pPr>
      <w:r>
        <w:rPr>
          <w:rFonts w:ascii="Georgia" w:cs="Georgia" w:eastAsia="Georgia" w:hAnsi="Georgia"/>
          <w:b/>
          <w:bCs/>
          <w:color w:val="444444"/>
          <w:sz w:val="22"/>
          <w:szCs w:val="22"/>
        </w:rPr>
        <w:t xml:space="preserve">5.3.1 Compensation and Benefits</w:t>
      </w:r>
    </w:p>
    <w:p>
      <w:pPr>
        <w:spacing w:after="150" w:before="0"/>
        <w:jc w:val="both"/>
      </w:pPr>
      <w:r>
        <w:rPr>
          <w:rFonts w:ascii="Calibri" w:cs="Calibri" w:eastAsia="Calibri" w:hAnsi="Calibri"/>
          <w:color w:val="333333"/>
          <w:sz w:val="22"/>
          <w:szCs w:val="22"/>
        </w:rPr>
        <w:t xml:space="preserve">Compensation shall be budgeted at the individual employee level (for existing staff) with assumptions for: merit increases, promotions, bonus targets, equity compensation expense, benefits cost inflation, and new hire timing and compensation. HR shall provide standard cost assumptions for benefits by tier.</w:t>
      </w:r>
    </w:p>
    <w:p>
      <w:pPr>
        <w:pStyle w:val="Heading3"/>
        <w:spacing w:after="100" w:before="200"/>
      </w:pPr>
      <w:r>
        <w:rPr>
          <w:rFonts w:ascii="Georgia" w:cs="Georgia" w:eastAsia="Georgia" w:hAnsi="Georgia"/>
          <w:b/>
          <w:bCs/>
          <w:color w:val="444444"/>
          <w:sz w:val="22"/>
          <w:szCs w:val="22"/>
        </w:rPr>
        <w:t xml:space="preserve">5.3.2 Non-Compensation Operating Expenses</w:t>
      </w:r>
    </w:p>
    <w:p>
      <w:pPr>
        <w:spacing w:after="150" w:before="0"/>
        <w:jc w:val="both"/>
      </w:pPr>
      <w:r>
        <w:rPr>
          <w:rFonts w:ascii="Calibri" w:cs="Calibri" w:eastAsia="Calibri" w:hAnsi="Calibri"/>
          <w:color w:val="333333"/>
          <w:sz w:val="22"/>
          <w:szCs w:val="22"/>
        </w:rPr>
        <w:t xml:space="preserve">Non-compensation expenses shall be budgeted by account and cost center. Department heads shall provide bottom-up estimates with supporting assumptions. FP&amp;A shall challenge submissions against historical run-rates and industry benchmarks. [Company Name] may apply zero-based budgeting principles to selected expense categories each year to ensure all spending is justified.</w:t>
      </w:r>
    </w:p>
    <w:p>
      <w:pPr>
        <w:pStyle w:val="Heading2"/>
        <w:spacing w:after="150" w:before="300"/>
      </w:pPr>
      <w:r>
        <w:rPr>
          <w:rFonts w:ascii="Georgia" w:cs="Georgia" w:eastAsia="Georgia" w:hAnsi="Georgia"/>
          <w:b/>
          <w:bCs/>
          <w:color w:val="333333"/>
          <w:sz w:val="26"/>
          <w:szCs w:val="26"/>
        </w:rPr>
        <w:t xml:space="preserve">5.4 Capital Budget</w:t>
      </w:r>
    </w:p>
    <w:p>
      <w:pPr>
        <w:spacing w:after="150" w:before="0"/>
        <w:jc w:val="both"/>
      </w:pPr>
      <w:r>
        <w:rPr>
          <w:rFonts w:ascii="Calibri" w:cs="Calibri" w:eastAsia="Calibri" w:hAnsi="Calibri"/>
          <w:color w:val="333333"/>
          <w:sz w:val="22"/>
          <w:szCs w:val="22"/>
        </w:rPr>
        <w:t xml:space="preserve">Capital expenditure requests shall be submitted with: asset description, business justification, estimated cost, useful life, expected ROI or payback period, and alignment with strategic priorities. Capital projects exceeding [threshold] require a formal business case. The total capital budget is approved by the Board as part of the annual budget.</w:t>
      </w:r>
    </w:p>
    <w:p>
      <w:pPr>
        <w:pStyle w:val="Heading2"/>
        <w:spacing w:after="150" w:before="300"/>
      </w:pPr>
      <w:r>
        <w:rPr>
          <w:rFonts w:ascii="Georgia" w:cs="Georgia" w:eastAsia="Georgia" w:hAnsi="Georgia"/>
          <w:b/>
          <w:bCs/>
          <w:color w:val="333333"/>
          <w:sz w:val="26"/>
          <w:szCs w:val="26"/>
        </w:rPr>
        <w:t xml:space="preserve">5.5 Cash Flow Budget</w:t>
      </w:r>
    </w:p>
    <w:p>
      <w:pPr>
        <w:spacing w:after="150" w:before="0"/>
        <w:jc w:val="both"/>
      </w:pPr>
      <w:r>
        <w:rPr>
          <w:rFonts w:ascii="Calibri" w:cs="Calibri" w:eastAsia="Calibri" w:hAnsi="Calibri"/>
          <w:color w:val="333333"/>
          <w:sz w:val="22"/>
          <w:szCs w:val="22"/>
        </w:rPr>
        <w:t xml:space="preserve">FP&amp;A shall prepare a monthly cash flow budget derived from the revenue, expense, capital, and working capital budgets. The cash flow budget shall project: operating cash flow, investing cash flow (capital expenditures, acquisitions), financing cash flow (debt service, equity transactions), and ending cash position by month. Cash flow projections shall be validated against the 13-week forecast maintained by Treasury.</w:t>
      </w:r>
    </w:p>
    <w:p>
      <w:pPr>
        <w:pStyle w:val="Heading2"/>
        <w:spacing w:after="150" w:before="300"/>
      </w:pPr>
      <w:r>
        <w:rPr>
          <w:rFonts w:ascii="Georgia" w:cs="Georgia" w:eastAsia="Georgia" w:hAnsi="Georgia"/>
          <w:b/>
          <w:bCs/>
          <w:color w:val="333333"/>
          <w:sz w:val="26"/>
          <w:szCs w:val="26"/>
        </w:rPr>
        <w:t xml:space="preserve">5.6 Rolling Forecast Process</w:t>
      </w:r>
    </w:p>
    <w:p>
      <w:pPr>
        <w:spacing w:after="150" w:before="0"/>
        <w:jc w:val="both"/>
      </w:pPr>
      <w:r>
        <w:rPr>
          <w:rFonts w:ascii="Calibri" w:cs="Calibri" w:eastAsia="Calibri" w:hAnsi="Calibri"/>
          <w:color w:val="333333"/>
          <w:sz w:val="22"/>
          <w:szCs w:val="22"/>
        </w:rPr>
        <w:t xml:space="preserve">The rolling forecast shall be updated [monthly/quarterly] using the following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Actuals for completed months replace prior estimates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Near-term months (1-3) updated with operational visibility (pipeline, bookings, commitments)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Medium-term months (4-8) updated for known changes in assumptions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Outer months (9-12+) updated for structural changes only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FP&amp;A consolidates and reviews for reasonableness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CFO reviews consolidated forecast and key variances to prior forecast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Budget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budget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Total budget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Budget transfer within department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Department Head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Budget transfer between departments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Budget increase (additional spending)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Budget increase (additional spending)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headcount (within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Department Head + HR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headcount (above budget)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Capital project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CapEx policy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Per CapEx approval matrix</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Budget exceptions (spending above approved levels) shall be documented with business justification and approved per the thresholds above. Emergency spending that cannot wait for normal approval may be authorized verbally by the CFO and documented within 48 hours. All budget exceptions shall be reported to the Board as part of the quarterly variance report.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budget-to-actual variance reporting by department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rolling forecast accuracy measurement (forecast vs. actual for completed periods)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budget assumptions vs. actual trends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budget process retrospective and improvement planning</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Budget completion by target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forecast accuracy (quarterly)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[5%] of actual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Expense forecast accuracy (quarterly)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[3%] of actual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EBITDA forecast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[5%] of actual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 spending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Forecast cycle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[5] business days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Headcount and Compensation Planning (HR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Budget Submission Template</w:t>
      </w:r>
    </w:p>
    <w:p>
      <w:pPr>
        <w:spacing w:after="150" w:before="0"/>
        <w:jc w:val="both"/>
      </w:pPr>
      <w:r>
        <w:rPr>
          <w:rFonts w:ascii="Calibri" w:cs="Calibri" w:eastAsia="Calibri" w:hAnsi="Calibri"/>
          <w:color w:val="333333"/>
          <w:sz w:val="22"/>
          <w:szCs w:val="22"/>
        </w:rPr>
        <w:t xml:space="preserve">Department budget submissions shall include: revenue by product/service line (if applicable), compensation by employee (existing and planned hires), non-compensation expenses by account, capital expenditure requests, headcount by role and month, and key assumptions and risks.</w:t>
      </w:r>
    </w:p>
    <w:p>
      <w:pPr>
        <w:pStyle w:val="Heading2"/>
        <w:spacing w:after="150" w:before="300"/>
      </w:pPr>
      <w:r>
        <w:rPr>
          <w:rFonts w:ascii="Georgia" w:cs="Georgia" w:eastAsia="Georgia" w:hAnsi="Georgia"/>
          <w:b/>
          <w:bCs/>
          <w:color w:val="333333"/>
          <w:sz w:val="26"/>
          <w:szCs w:val="26"/>
        </w:rPr>
        <w:t xml:space="preserve">Appendix B — Variance Analysis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Line Item</w:t>
            </w:r>
          </w:p>
        </w:tc>
        <w:tc>
          <w:tcPr>
            <w:tcW w:type="dxa" w:w="2400"/>
            <w:shd w:fill="0C0C0C" w:val="clear"/>
          </w:tcPr>
          <w:p>
            <w:pPr>
              <w:spacing w:after="60" w:before="60"/>
            </w:pPr>
            <w:r>
              <w:rPr>
                <w:rFonts w:ascii="Calibri" w:cs="Calibri" w:eastAsia="Calibri" w:hAnsi="Calibri"/>
                <w:b/>
                <w:bCs/>
                <w:color w:val="D4AF37"/>
                <w:sz w:val="20"/>
                <w:szCs w:val="20"/>
              </w:rPr>
              <w:t xml:space="preserve">Budget</w:t>
            </w:r>
          </w:p>
        </w:tc>
        <w:tc>
          <w:tcPr>
            <w:tcW w:type="dxa" w:w="4560"/>
            <w:shd w:fill="0C0C0C" w:val="clear"/>
          </w:tcPr>
          <w:p>
            <w:pPr>
              <w:spacing w:after="60" w:before="60"/>
            </w:pPr>
            <w:r>
              <w:rPr>
                <w:rFonts w:ascii="Calibri" w:cs="Calibri" w:eastAsia="Calibri" w:hAnsi="Calibri"/>
                <w:b/>
                <w:bCs/>
                <w:color w:val="D4AF37"/>
                <w:sz w:val="20"/>
                <w:szCs w:val="20"/>
              </w:rPr>
              <w:t xml:space="preserve">Actual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Revenue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COGS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Gross Profit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Operating Expenses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EBITDA</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The full variance template includes all columns shown above plus YTD and full-year forecast comparisons.</w:t>
      </w:r>
    </w:p>
    <w:p>
      <w:pPr>
        <w:pStyle w:val="Heading2"/>
        <w:spacing w:after="150" w:before="300"/>
      </w:pPr>
      <w:r>
        <w:rPr>
          <w:rFonts w:ascii="Georgia" w:cs="Georgia" w:eastAsia="Georgia" w:hAnsi="Georgia"/>
          <w:b/>
          <w:bCs/>
          <w:color w:val="333333"/>
          <w:sz w:val="26"/>
          <w:szCs w:val="26"/>
        </w:rPr>
        <w:t xml:space="preserve">Appendix C — Scenario Planning Framework</w:t>
      </w:r>
    </w:p>
    <w:p>
      <w:pPr>
        <w:spacing w:after="150" w:before="0"/>
        <w:jc w:val="both"/>
      </w:pPr>
      <w:r>
        <w:rPr>
          <w:rFonts w:ascii="Calibri" w:cs="Calibri" w:eastAsia="Calibri" w:hAnsi="Calibri"/>
          <w:color w:val="333333"/>
          <w:sz w:val="22"/>
          <w:szCs w:val="22"/>
        </w:rPr>
        <w:t xml:space="preserve">Each scenario shall specify: revenue growth rate, gross margin assumption, opex growth rate, headcount assumption, and key macro/market assumption that drives the scenario. Scenarios should not simply be +/- 10% of base case — they should reflect different business conditions with internally consistent assumptions.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Planning Technology and Tools</w:t>
      </w:r>
    </w:p>
    <w:p>
      <w:pPr>
        <w:pStyle w:val="Heading2"/>
        <w:spacing w:after="150" w:before="300"/>
      </w:pPr>
      <w:r>
        <w:rPr>
          <w:rFonts w:ascii="Georgia" w:cs="Georgia" w:eastAsia="Georgia" w:hAnsi="Georgia"/>
          <w:b/>
          <w:bCs/>
          <w:color w:val="333333"/>
          <w:sz w:val="26"/>
          <w:szCs w:val="26"/>
        </w:rPr>
        <w:t xml:space="preserve">11.1 Enterprise Performance Management (EPM)</w:t>
      </w:r>
    </w:p>
    <w:p>
      <w:pPr>
        <w:spacing w:after="150" w:before="0"/>
        <w:jc w:val="both"/>
      </w:pPr>
      <w:r>
        <w:rPr>
          <w:rFonts w:ascii="Calibri" w:cs="Calibri" w:eastAsia="Calibri" w:hAnsi="Calibri"/>
          <w:color w:val="333333"/>
          <w:sz w:val="22"/>
          <w:szCs w:val="22"/>
        </w:rPr>
        <w:t xml:space="preserve">[Company Name] shall use [EPM tool, e.g., Anaplan, Adaptive, Planful, Workday Adaptive] as the primary platform for budgeting, forecasting, and financial planning. The EPM platform shall: integrate with the ERP general ledger for actuals, support driver-based modeling and scenario analysis, enable collaborative input from all budget owners, provide real-time consolidation and reporting, and maintain a complete audit trail of all plan changes.</w:t>
      </w:r>
    </w:p>
    <w:p>
      <w:pPr>
        <w:pStyle w:val="Heading2"/>
        <w:spacing w:after="150" w:before="300"/>
      </w:pPr>
      <w:r>
        <w:rPr>
          <w:rFonts w:ascii="Georgia" w:cs="Georgia" w:eastAsia="Georgia" w:hAnsi="Georgia"/>
          <w:b/>
          <w:bCs/>
          <w:color w:val="333333"/>
          <w:sz w:val="26"/>
          <w:szCs w:val="26"/>
        </w:rPr>
        <w:t xml:space="preserve">11.2 Scenario Modeling Capabilities</w:t>
      </w:r>
    </w:p>
    <w:p>
      <w:pPr>
        <w:spacing w:after="150" w:before="0"/>
        <w:jc w:val="both"/>
      </w:pPr>
      <w:r>
        <w:rPr>
          <w:rFonts w:ascii="Calibri" w:cs="Calibri" w:eastAsia="Calibri" w:hAnsi="Calibri"/>
          <w:color w:val="333333"/>
          <w:sz w:val="22"/>
          <w:szCs w:val="22"/>
        </w:rPr>
        <w:t xml:space="preserve">The planning platform shall support rapid scenario modeling enabling FP&amp;A to evaluate: revenue sensitivity to pricing, volume, and mix changes, cost structure changes (fixed vs. variable, insource vs. outsource), headcount scenarios (hiring freeze, targeted reductions, acceleration), capital allocation trade-offs, and M&amp;A impact modeling (accretion/dilution, integration costs). Scenarios shall be available for executive decision-making within [2] business days of request.</w:t>
      </w:r>
    </w:p>
    <w:p>
      <w:pPr>
        <w:pStyle w:val="Heading2"/>
        <w:spacing w:after="150" w:before="300"/>
      </w:pPr>
      <w:r>
        <w:rPr>
          <w:rFonts w:ascii="Georgia" w:cs="Georgia" w:eastAsia="Georgia" w:hAnsi="Georgia"/>
          <w:b/>
          <w:bCs/>
          <w:color w:val="333333"/>
          <w:sz w:val="26"/>
          <w:szCs w:val="26"/>
        </w:rPr>
        <w:t xml:space="preserve">11.3 AI-Assisted Forecasting</w:t>
      </w:r>
    </w:p>
    <w:p>
      <w:pPr>
        <w:spacing w:after="150" w:before="0"/>
        <w:jc w:val="both"/>
      </w:pPr>
      <w:r>
        <w:rPr>
          <w:rFonts w:ascii="Calibri" w:cs="Calibri" w:eastAsia="Calibri" w:hAnsi="Calibri"/>
          <w:color w:val="333333"/>
          <w:sz w:val="22"/>
          <w:szCs w:val="22"/>
        </w:rPr>
        <w:t xml:space="preserve">[Company Name] may deploy AI-assisted forecasting to improve forecast accuracy for high-volume, pattern-driven revenue and expense lines. AI forecasts shall: supplement (not replace) human judgment, be validated against historical accuracy before operational use, be documented per the AI &amp; Automation Governance Policy, and be clearly labeled as AI-assisted in all reports.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Long-Range Strategic Planning</w:t>
      </w:r>
    </w:p>
    <w:p>
      <w:pPr>
        <w:pStyle w:val="Heading2"/>
        <w:spacing w:after="150" w:before="300"/>
      </w:pPr>
      <w:r>
        <w:rPr>
          <w:rFonts w:ascii="Georgia" w:cs="Georgia" w:eastAsia="Georgia" w:hAnsi="Georgia"/>
          <w:b/>
          <w:bCs/>
          <w:color w:val="333333"/>
          <w:sz w:val="26"/>
          <w:szCs w:val="26"/>
        </w:rPr>
        <w:t xml:space="preserve">12.1 Strategic Plan Horizon</w:t>
      </w:r>
    </w:p>
    <w:p>
      <w:pPr>
        <w:spacing w:after="150" w:before="0"/>
        <w:jc w:val="both"/>
      </w:pPr>
      <w:r>
        <w:rPr>
          <w:rFonts w:ascii="Calibri" w:cs="Calibri" w:eastAsia="Calibri" w:hAnsi="Calibri"/>
          <w:color w:val="333333"/>
          <w:sz w:val="22"/>
          <w:szCs w:val="22"/>
        </w:rPr>
        <w:t xml:space="preserve">[Company Name] shall maintain a [3-5] year long-range plan (LRP) that translates strategic initiatives into financial projections. The LRP shall be updated annually in conjunction with the strategic planning process, typically preceding the annual budget cycle. The LRP provides the financial framework within which the annual budget is constructed.</w:t>
      </w:r>
    </w:p>
    <w:p>
      <w:pPr>
        <w:pStyle w:val="Heading2"/>
        <w:spacing w:after="150" w:before="300"/>
      </w:pPr>
      <w:r>
        <w:rPr>
          <w:rFonts w:ascii="Georgia" w:cs="Georgia" w:eastAsia="Georgia" w:hAnsi="Georgia"/>
          <w:b/>
          <w:bCs/>
          <w:color w:val="333333"/>
          <w:sz w:val="26"/>
          <w:szCs w:val="26"/>
        </w:rPr>
        <w:t xml:space="preserve">12.2 LRP Components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model: market sizing, share assumptions, organic vs. inorganic growth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Margin model: cost structure evolution, scale efficiencies, investment trade-offs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model: capital expenditure requirements, technology investments, M&amp;A funding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flow model: free cash flow generation, debt capacity, shareholder returns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Scenario analysis: base, bull, and bear cases with distinct strategic assumptions</w:t>
      </w:r>
    </w:p>
    <w:p>
      <w:pPr>
        <w:pStyle w:val="Heading2"/>
        <w:spacing w:after="150" w:before="300"/>
      </w:pPr>
      <w:r>
        <w:rPr>
          <w:rFonts w:ascii="Georgia" w:cs="Georgia" w:eastAsia="Georgia" w:hAnsi="Georgia"/>
          <w:b/>
          <w:bCs/>
          <w:color w:val="333333"/>
          <w:sz w:val="26"/>
          <w:szCs w:val="26"/>
        </w:rPr>
        <w:t xml:space="preserve">12.3 Board Presentation</w:t>
      </w:r>
    </w:p>
    <w:p>
      <w:pPr>
        <w:spacing w:after="150" w:before="0"/>
        <w:jc w:val="both"/>
      </w:pPr>
      <w:r>
        <w:rPr>
          <w:rFonts w:ascii="Calibri" w:cs="Calibri" w:eastAsia="Calibri" w:hAnsi="Calibri"/>
          <w:color w:val="333333"/>
          <w:sz w:val="22"/>
          <w:szCs w:val="22"/>
        </w:rPr>
        <w:t xml:space="preserve">The LRP shall be presented to the Board annually, typically alongside the annual budget. The presentation shall include: key assumptions and their sensitivity, comparison to prior-year LRP (plan vs. reality), strategic investment requirements, financing implications, and risk factors that could materially alter the plan trajectory.</w:t>
      </w:r>
    </w:p>
    <w:p>
      <w:pPr>
        <w:pStyle w:val="Heading2"/>
        <w:spacing w:after="150" w:before="300"/>
      </w:pPr>
      <w:r>
        <w:rPr>
          <w:rFonts w:ascii="Georgia" w:cs="Georgia" w:eastAsia="Georgia" w:hAnsi="Georgia"/>
          <w:b/>
          <w:bCs/>
          <w:color w:val="333333"/>
          <w:sz w:val="26"/>
          <w:szCs w:val="26"/>
        </w:rPr>
        <w:t xml:space="preserve">12.4 Continuous Planning</w:t>
      </w:r>
    </w:p>
    <w:p>
      <w:pPr>
        <w:spacing w:after="150" w:before="0"/>
        <w:jc w:val="both"/>
      </w:pPr>
      <w:r>
        <w:rPr>
          <w:rFonts w:ascii="Calibri" w:cs="Calibri" w:eastAsia="Calibri" w:hAnsi="Calibri"/>
          <w:color w:val="333333"/>
          <w:sz w:val="22"/>
          <w:szCs w:val="22"/>
        </w:rPr>
        <w:t xml:space="preserve">[Company Name] recognizes that static annual plans cannot keep pace with dynamic market conditions. The combination of rolling forecasts, scenario modeling, and trigger-based replanning enables continuous planning. Trigger events that warrant immediate reforecast include: loss of a top-5 customer, material M&amp;A opportunity or threat, macroeconomic shock (recession, pandemic, financial crisis), significant regulatory change, and technology disruption affecting the business model.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Budget &amp; Financial Planning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2026-07-13T07:26:12.124Z</dcterms:created>
  <dcterms:modified xsi:type="dcterms:W3CDTF">2026-07-13T07:26:12.124Z</dcterms:modified>
</cp:coreProperties>
</file>

<file path=docProps/custom.xml><?xml version="1.0" encoding="utf-8"?>
<Properties xmlns="http://schemas.openxmlformats.org/officeDocument/2006/custom-properties" xmlns:vt="http://schemas.openxmlformats.org/officeDocument/2006/docPropsVTypes"/>
</file>