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0"/>
      </w:pPr>
    </w:p>
    <w:p>
      <w:pPr>
        <w:spacing w:after="200"/>
        <w:jc w:val="center"/>
      </w:pPr>
      <w:r>
        <w:rPr>
          <w:rFonts w:ascii="Georgia" w:cs="Georgia" w:eastAsia="Georgia" w:hAnsi="Georgia"/>
          <w:b/>
          <w:bCs/>
          <w:color w:val="D4AF37"/>
          <w:sz w:val="56"/>
          <w:szCs w:val="56"/>
        </w:rPr>
        <w:t xml:space="preserve">EFuturesCFO</w:t>
      </w:r>
    </w:p>
    <w:p>
      <w:pPr>
        <w:spacing w:after="100"/>
        <w:jc w:val="center"/>
      </w:pPr>
      <w:r>
        <w:rPr>
          <w:rFonts w:ascii="Calibri" w:cs="Calibri" w:eastAsia="Calibri" w:hAnsi="Calibri"/>
          <w:color w:val="9CA3AF"/>
          <w:sz w:val="24"/>
          <w:szCs w:val="24"/>
        </w:rPr>
        <w:t xml:space="preserve">Executive Decision Tools</w:t>
      </w:r>
    </w:p>
    <w:p>
      <w:pPr>
        <w:pBdr>
          <w:bottom w:val="single" w:color="D4AF37" w:sz="6"/>
        </w:pBdr>
        <w:spacing w:after="600"/>
        <w:jc w:val="center"/>
      </w:pPr>
      <w:r>
        <w:rPr>
          <w:sz w:val="12"/>
          <w:szCs w:val="12"/>
        </w:rPr>
        <w:t xml:space="preserve"> </w:t>
      </w:r>
    </w:p>
    <w:p>
      <w:pPr>
        <w:spacing w:after="400"/>
      </w:pPr>
    </w:p>
    <w:p>
      <w:pPr>
        <w:spacing w:after="200"/>
        <w:jc w:val="center"/>
      </w:pPr>
      <w:r>
        <w:rPr>
          <w:rFonts w:ascii="Georgia" w:cs="Georgia" w:eastAsia="Georgia" w:hAnsi="Georgia"/>
          <w:b/>
          <w:bCs/>
          <w:color w:val="0C0C0C"/>
          <w:sz w:val="48"/>
          <w:szCs w:val="48"/>
        </w:rPr>
        <w:t xml:space="preserve">Intercompany Transactions &amp; Transfer Pricing Policy</w:t>
      </w:r>
    </w:p>
    <w:p>
      <w:pPr>
        <w:spacing w:after="200"/>
        <w:jc w:val="center"/>
      </w:pPr>
      <w:r>
        <w:rPr>
          <w:rFonts w:ascii="Calibri" w:cs="Calibri" w:eastAsia="Calibri" w:hAnsi="Calibri"/>
          <w:color w:val="666666"/>
          <w:sz w:val="28"/>
          <w:szCs w:val="28"/>
        </w:rPr>
        <w:t xml:space="preserve">Policy &amp; Procedures Manual</w:t>
      </w:r>
    </w:p>
    <w:p>
      <w:pPr>
        <w:spacing w:after="2000"/>
      </w:pPr>
    </w:p>
    <w:p>
      <w:pPr>
        <w:spacing w:after="100"/>
        <w:jc w:val="center"/>
      </w:pPr>
      <w:r>
        <w:rPr>
          <w:rFonts w:ascii="Calibri" w:cs="Calibri" w:eastAsia="Calibri" w:hAnsi="Calibri"/>
          <w:b/>
          <w:bCs/>
          <w:color w:val="0C0C0C"/>
          <w:sz w:val="28"/>
          <w:szCs w:val="28"/>
        </w:rPr>
        <w:t xml:space="preserve">[Company Name]</w:t>
      </w:r>
    </w:p>
    <w:p>
      <w:pPr>
        <w:spacing w:after="100"/>
        <w:jc w:val="center"/>
      </w:pPr>
      <w:r>
        <w:rPr>
          <w:rFonts w:ascii="Calibri" w:cs="Calibri" w:eastAsia="Calibri" w:hAnsi="Calibri"/>
          <w:color w:val="9CA3AF"/>
          <w:sz w:val="22"/>
          <w:szCs w:val="22"/>
        </w:rPr>
        <w:t xml:space="preserve">Policy Document — Confidential</w:t>
      </w:r>
    </w:p>
    <w:p>
      <w:pPr>
        <w:spacing w:after="100"/>
        <w:jc w:val="center"/>
      </w:pPr>
      <w:r>
        <w:rPr>
          <w:rFonts w:ascii="Calibri" w:cs="Calibri" w:eastAsia="Calibri" w:hAnsi="Calibri"/>
          <w:color w:val="9CA3AF"/>
          <w:sz w:val="20"/>
          <w:szCs w:val="20"/>
        </w:rPr>
        <w:t xml:space="preserve">Effective Date: [Date]  |  Version: 1.0</w:t>
      </w:r>
    </w:p>
    <w:p>
      <w:pPr>
        <w:spacing w:after="100"/>
        <w:jc w:val="center"/>
      </w:pPr>
      <w:r>
        <w:rPr>
          <w:rFonts w:ascii="Calibri" w:cs="Calibri" w:eastAsia="Calibri" w:hAnsi="Calibri"/>
          <w:color w:val="9CA3AF"/>
          <w:sz w:val="20"/>
          <w:szCs w:val="20"/>
        </w:rPr>
        <w:t xml:space="preserve">Owner: [Policy Owner Title]  |  Approved by: [CFO Name]</w:t>
      </w:r>
    </w:p>
    <w:p>
      <w:r>
        <w:br w:type="page"/>
      </w:r>
    </w:p>
    <w:p>
      <w:pPr>
        <w:pStyle w:val="Heading1"/>
        <w:spacing w:after="300"/>
      </w:pPr>
      <w:r>
        <w:rPr>
          <w:rFonts w:ascii="Georgia" w:cs="Georgia" w:eastAsia="Georgia" w:hAnsi="Georgia"/>
          <w:b/>
          <w:bCs/>
          <w:color w:val="0C0C0C"/>
          <w:sz w:val="32"/>
          <w:szCs w:val="32"/>
        </w:rPr>
        <w:t xml:space="preserve">Table of 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 Purpose &amp; Scope</w:t>
      </w:r>
    </w:p>
    <w:p>
      <w:pPr>
        <w:spacing w:after="150" w:before="0"/>
        <w:jc w:val="both"/>
      </w:pPr>
      <w:r>
        <w:rPr>
          <w:rFonts w:ascii="Calibri" w:cs="Calibri" w:eastAsia="Calibri" w:hAnsi="Calibri"/>
          <w:color w:val="333333"/>
          <w:sz w:val="22"/>
          <w:szCs w:val="22"/>
        </w:rPr>
        <w:t xml:space="preserve">This Intercompany Transactions and Transfer Pricing Policy establishes the standards, procedures, and controls governing how [Company Name] records, prices, and eliminates transactions between related entities within the consolidated group. The policy ensures compliance with ASC 850 (Related Parties), IRC Section 482, OECD Transfer Pricing Guidelines, and local country transfer pricing regulations.</w:t>
      </w:r>
    </w:p>
    <w:p>
      <w:pPr>
        <w:spacing w:after="150" w:before="0"/>
        <w:jc w:val="both"/>
      </w:pPr>
      <w:r>
        <w:rPr>
          <w:rFonts w:ascii="Calibri" w:cs="Calibri" w:eastAsia="Calibri" w:hAnsi="Calibri"/>
          <w:color w:val="333333"/>
          <w:sz w:val="22"/>
          <w:szCs w:val="22"/>
        </w:rPr>
        <w:t xml:space="preserve">This policy applies to all transactions between [Company Name] and its subsidiaries, affiliates, branches, and any other entities under common control, regardless of jurisdiction. It covers intercompany sales of goods and services, management fees, royalties, cost allocations, intercompany loans, and any other arrangement where value is transferred between related entities.</w:t>
      </w:r>
    </w:p>
    <w:p>
      <w:pPr>
        <w:pStyle w:val="Heading2"/>
        <w:spacing w:after="150" w:before="300"/>
      </w:pPr>
      <w:r>
        <w:rPr>
          <w:rFonts w:ascii="Georgia" w:cs="Georgia" w:eastAsia="Georgia" w:hAnsi="Georgia"/>
          <w:b/>
          <w:bCs/>
          <w:color w:val="333333"/>
          <w:sz w:val="26"/>
          <w:szCs w:val="26"/>
        </w:rPr>
        <w:t xml:space="preserve">1.1 Objectives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Ensure intercompany transactions are priced at arm's length in compliance with transfer pricing regulations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Maintain accurate intercompany accounting records that eliminate properly at consolidation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Minimize the risk of transfer pricing adjustments, double taxation, and penalties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Support timely financial close through efficient intercompany reconciliation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Document transfer pricing policies to satisfy contemporaneous documentation requirements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Optimize the group's overall tax position within legal and ethical boundaries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2. Definitions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Term</w:t>
            </w:r>
          </w:p>
        </w:tc>
        <w:tc>
          <w:tcPr>
            <w:tcW w:type="dxa" w:w="6160"/>
            <w:shd w:fill="0C0C0C" w:val="clear"/>
          </w:tcPr>
          <w:p>
            <w:pPr>
              <w:spacing w:after="60" w:before="60"/>
            </w:pPr>
            <w:r>
              <w:rPr>
                <w:rFonts w:ascii="Calibri" w:cs="Calibri" w:eastAsia="Calibri" w:hAnsi="Calibri"/>
                <w:b/>
                <w:bCs/>
                <w:color w:val="D4AF37"/>
                <w:sz w:val="20"/>
                <w:szCs w:val="20"/>
              </w:rPr>
              <w:t xml:space="preserve">Definition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Arm's Length Principle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standard that intercompany transactions should be priced as if conducted between unrelated parties under comparable circumstances.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Transfer Price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price charged for goods, services, or intangibles transferred between related entities.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Comparable Uncontrolled Transaction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transaction between unrelated parties used as a benchmark for establishing arm's length pricing.</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Intercompany Agreement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written contract between related entities documenting the terms, pricing, and conditions of intercompany transactions.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Cost Plus Method</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Transfer pricing method where costs incurred are marked up by an appropriate profit margin.</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TNMM / CPM</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Transactional Net Margin Method (OECD) / Comparable Profits Method (US) — tests the net profit margin of the tested party against comparable companies.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Advance Pricing Agreement (APA)</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binding agreement between a taxpayer and tax authority establishing the transfer pricing methodology for future transactions.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Country-by-Country Report (CbCR)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OECD BEPS Action 13 report disclosing revenue, profit, tax, and employees by jurisdiction.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Intercompany Elimination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consolidation process that removes the effect of intercompany transactions from consolidated financial statements.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Management Fee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charge for centralized services (finance, HR, IT, legal) provided by a parent or shared services entity to subsidiaries.</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3. Policy Statements</w:t>
      </w:r>
    </w:p>
    <w:p>
      <w:pPr>
        <w:pStyle w:val="Heading2"/>
        <w:spacing w:after="150" w:before="300"/>
      </w:pPr>
      <w:r>
        <w:rPr>
          <w:rFonts w:ascii="Georgia" w:cs="Georgia" w:eastAsia="Georgia" w:hAnsi="Georgia"/>
          <w:b/>
          <w:bCs/>
          <w:color w:val="333333"/>
          <w:sz w:val="26"/>
          <w:szCs w:val="26"/>
        </w:rPr>
        <w:t xml:space="preserve">3.1 Arm's Length Standard</w:t>
      </w:r>
    </w:p>
    <w:p>
      <w:pPr>
        <w:spacing w:after="150" w:before="0"/>
        <w:jc w:val="both"/>
      </w:pPr>
      <w:r>
        <w:rPr>
          <w:rFonts w:ascii="Calibri" w:cs="Calibri" w:eastAsia="Calibri" w:hAnsi="Calibri"/>
          <w:color w:val="333333"/>
          <w:sz w:val="22"/>
          <w:szCs w:val="22"/>
        </w:rPr>
        <w:t xml:space="preserve">All intercompany transactions shall be priced at arm's length. The transfer price shall reflect the price that would be agreed upon by unrelated parties in comparable transactions under comparable circumstances. [Company Name] shall select the most appropriate transfer pricing method for each category of intercompany transaction based on the nature of the transaction and available comparable data.</w:t>
      </w:r>
    </w:p>
    <w:p>
      <w:pPr>
        <w:pStyle w:val="Heading2"/>
        <w:spacing w:after="150" w:before="300"/>
      </w:pPr>
      <w:r>
        <w:rPr>
          <w:rFonts w:ascii="Georgia" w:cs="Georgia" w:eastAsia="Georgia" w:hAnsi="Georgia"/>
          <w:b/>
          <w:bCs/>
          <w:color w:val="333333"/>
          <w:sz w:val="26"/>
          <w:szCs w:val="26"/>
        </w:rPr>
        <w:t xml:space="preserve">3.2 Transfer Pricing Methods</w:t>
      </w:r>
    </w:p>
    <w:p>
      <w:pPr>
        <w:spacing w:after="150" w:before="0"/>
        <w:jc w:val="both"/>
      </w:pPr>
      <w:r>
        <w:rPr>
          <w:rFonts w:ascii="Calibri" w:cs="Calibri" w:eastAsia="Calibri" w:hAnsi="Calibri"/>
          <w:color w:val="333333"/>
          <w:sz w:val="22"/>
          <w:szCs w:val="22"/>
        </w:rPr>
        <w:t xml:space="preserve">[Company Name] shall apply the following methods as appropriate: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Method</w:t>
            </w:r>
          </w:p>
        </w:tc>
        <w:tc>
          <w:tcPr>
            <w:tcW w:type="dxa" w:w="6160"/>
            <w:shd w:fill="0C0C0C" w:val="clear"/>
          </w:tcPr>
          <w:p>
            <w:pPr>
              <w:spacing w:after="60" w:before="60"/>
            </w:pPr>
            <w:r>
              <w:rPr>
                <w:rFonts w:ascii="Calibri" w:cs="Calibri" w:eastAsia="Calibri" w:hAnsi="Calibri"/>
                <w:b/>
                <w:bCs/>
                <w:color w:val="D4AF37"/>
                <w:sz w:val="20"/>
                <w:szCs w:val="20"/>
              </w:rPr>
              <w:t xml:space="preserve">Application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Comparable Uncontrolled Price (CUP)</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When reliable comparable transactions exist between unrelated parties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Resale Price Method</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For distribution activities where the reseller adds limited value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Cost Plus Method</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For services, contract manufacturing, and cost-sharing arrangements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TNMM / CPM</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When transaction-based methods cannot be reliably applied; tests net margin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Profit Split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For highly integrated operations or unique intangible contributions</w:t>
            </w:r>
          </w:p>
        </w:tc>
      </w:tr>
    </w:tbl>
    <w:p>
      <w:pPr>
        <w:pStyle w:val="Heading2"/>
        <w:spacing w:after="150" w:before="300"/>
      </w:pPr>
      <w:r>
        <w:rPr>
          <w:rFonts w:ascii="Georgia" w:cs="Georgia" w:eastAsia="Georgia" w:hAnsi="Georgia"/>
          <w:b/>
          <w:bCs/>
          <w:color w:val="333333"/>
          <w:sz w:val="26"/>
          <w:szCs w:val="26"/>
        </w:rPr>
        <w:t xml:space="preserve">3.3 Intercompany Agreements</w:t>
      </w:r>
    </w:p>
    <w:p>
      <w:pPr>
        <w:spacing w:after="150" w:before="0"/>
        <w:jc w:val="both"/>
      </w:pPr>
      <w:r>
        <w:rPr>
          <w:rFonts w:ascii="Calibri" w:cs="Calibri" w:eastAsia="Calibri" w:hAnsi="Calibri"/>
          <w:color w:val="333333"/>
          <w:sz w:val="22"/>
          <w:szCs w:val="22"/>
        </w:rPr>
        <w:t xml:space="preserve">All material intercompany transactions shall be supported by written intercompany agreements executed before or at the time the transactions begin. Agreements shall specify: the nature of goods or services, pricing methodology, payment terms, risk allocation, and term and termination provisions. Agreements shall be reviewed annually for continued accuracy and updated when business circumstances change.</w:t>
      </w:r>
    </w:p>
    <w:p>
      <w:pPr>
        <w:pStyle w:val="Heading2"/>
        <w:spacing w:after="150" w:before="300"/>
      </w:pPr>
      <w:r>
        <w:rPr>
          <w:rFonts w:ascii="Georgia" w:cs="Georgia" w:eastAsia="Georgia" w:hAnsi="Georgia"/>
          <w:b/>
          <w:bCs/>
          <w:color w:val="333333"/>
          <w:sz w:val="26"/>
          <w:szCs w:val="26"/>
        </w:rPr>
        <w:t xml:space="preserve">3.4 Contemporaneous Documentation</w:t>
      </w:r>
    </w:p>
    <w:p>
      <w:pPr>
        <w:spacing w:after="150" w:before="0"/>
        <w:jc w:val="both"/>
      </w:pPr>
      <w:r>
        <w:rPr>
          <w:rFonts w:ascii="Calibri" w:cs="Calibri" w:eastAsia="Calibri" w:hAnsi="Calibri"/>
          <w:color w:val="333333"/>
          <w:sz w:val="22"/>
          <w:szCs w:val="22"/>
        </w:rPr>
        <w:t xml:space="preserve">[Company Name] shall maintain contemporaneous transfer pricing documentation sufficient to satisfy US (IRC Section 6662(e)) and local country documentation requirements. Documentation shall be prepared annually and available before the tax return filing deadline. The documentation shall include: functional analysis, economic analysis, method selection rationale, and benchmarking study.</w:t>
      </w:r>
    </w:p>
    <w:p>
      <w:pPr>
        <w:pStyle w:val="Heading2"/>
        <w:spacing w:after="150" w:before="300"/>
      </w:pPr>
      <w:r>
        <w:rPr>
          <w:rFonts w:ascii="Georgia" w:cs="Georgia" w:eastAsia="Georgia" w:hAnsi="Georgia"/>
          <w:b/>
          <w:bCs/>
          <w:color w:val="333333"/>
          <w:sz w:val="26"/>
          <w:szCs w:val="26"/>
        </w:rPr>
        <w:t xml:space="preserve">3.5 Intercompany Reconciliation</w:t>
      </w:r>
    </w:p>
    <w:p>
      <w:pPr>
        <w:spacing w:after="150" w:before="0"/>
        <w:jc w:val="both"/>
      </w:pPr>
      <w:r>
        <w:rPr>
          <w:rFonts w:ascii="Calibri" w:cs="Calibri" w:eastAsia="Calibri" w:hAnsi="Calibri"/>
          <w:color w:val="333333"/>
          <w:sz w:val="22"/>
          <w:szCs w:val="22"/>
        </w:rPr>
        <w:t xml:space="preserve">Intercompany balances shall be reconciled monthly across all entity pairs. All intercompany transactions must have matching entries in both entities. Discrepancies shall be resolved before the financial close deadline. At consolidation, all intercompany balances must net to zero.</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4. Roles &amp; Responsibilities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Responsibilities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CFO</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Owns the transfer pricing strategy. Approves significant intercompany pricing decisions. Reviews audit defense strategy.</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VP Tax / Tax Director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Designs and maintains transfer pricing policies. Commissions benchmarking studies. Manages transfer pricing audits. Prepares documentation.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Controller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Ensures intercompany transactions are properly recorded and eliminated. Reviews intercompany reconciliation. Approves intercompany settlement timing.</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Accounting Manager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Processes intercompany invoices and journal entries. Performs monthly intercompany reconciliation. Resolves discrepancies.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Subsidiary Controllers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Record local intercompany entries per corporate policy. Confirm intercompany balances monthly. Support local transfer pricing audits.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Legal</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Reviews intercompany agreements. Advises on regulatory requirements by jurisdiction. Supports APA negotiations.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Treasury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Manages intercompany cash settlements. Provides arm's length interest rates for intercompany loans.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External Advisor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Prepares benchmarking studies and transfer pricing documentation. Supports audit defense.</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5. Detailed Procedures</w:t>
      </w:r>
    </w:p>
    <w:p>
      <w:pPr>
        <w:pStyle w:val="Heading2"/>
        <w:spacing w:after="150" w:before="300"/>
      </w:pPr>
      <w:r>
        <w:rPr>
          <w:rFonts w:ascii="Georgia" w:cs="Georgia" w:eastAsia="Georgia" w:hAnsi="Georgia"/>
          <w:b/>
          <w:bCs/>
          <w:color w:val="333333"/>
          <w:sz w:val="26"/>
          <w:szCs w:val="26"/>
        </w:rPr>
        <w:t xml:space="preserve">5.1 Intercompany Transaction Categories</w:t>
      </w:r>
    </w:p>
    <w:p>
      <w:pPr>
        <w:pStyle w:val="Heading3"/>
        <w:spacing w:after="100" w:before="200"/>
      </w:pPr>
      <w:r>
        <w:rPr>
          <w:rFonts w:ascii="Georgia" w:cs="Georgia" w:eastAsia="Georgia" w:hAnsi="Georgia"/>
          <w:b/>
          <w:bCs/>
          <w:color w:val="444444"/>
          <w:sz w:val="22"/>
          <w:szCs w:val="22"/>
        </w:rPr>
        <w:t xml:space="preserve">5.1.1 Intercompany Sales of Goods</w:t>
      </w:r>
    </w:p>
    <w:p>
      <w:pPr>
        <w:spacing w:after="150" w:before="0"/>
        <w:jc w:val="both"/>
      </w:pPr>
      <w:r>
        <w:rPr>
          <w:rFonts w:ascii="Calibri" w:cs="Calibri" w:eastAsia="Calibri" w:hAnsi="Calibri"/>
          <w:color w:val="333333"/>
          <w:sz w:val="22"/>
          <w:szCs w:val="22"/>
        </w:rPr>
        <w:t xml:space="preserve">Sales of tangible goods between related entities shall be priced using the CUP method when comparable third-party transactions exist, or the cost plus or resale price method when CUP is not available. Standard transfer prices shall be established annually based on the benchmarking study and adjusted for material changes in costs or market conditions.</w:t>
      </w:r>
    </w:p>
    <w:p>
      <w:pPr>
        <w:pStyle w:val="Heading3"/>
        <w:spacing w:after="100" w:before="200"/>
      </w:pPr>
      <w:r>
        <w:rPr>
          <w:rFonts w:ascii="Georgia" w:cs="Georgia" w:eastAsia="Georgia" w:hAnsi="Georgia"/>
          <w:b/>
          <w:bCs/>
          <w:color w:val="444444"/>
          <w:sz w:val="22"/>
          <w:szCs w:val="22"/>
        </w:rPr>
        <w:t xml:space="preserve">5.1.2 Intercompany Services</w:t>
      </w:r>
    </w:p>
    <w:p>
      <w:pPr>
        <w:spacing w:after="150" w:before="0"/>
        <w:jc w:val="both"/>
      </w:pPr>
      <w:r>
        <w:rPr>
          <w:rFonts w:ascii="Calibri" w:cs="Calibri" w:eastAsia="Calibri" w:hAnsi="Calibri"/>
          <w:color w:val="333333"/>
          <w:sz w:val="22"/>
          <w:szCs w:val="22"/>
        </w:rPr>
        <w:t xml:space="preserve">Services provided between entities (management services, IT support, finance, HR, legal) shall be charged at cost plus an appropriate markup reflecting the arm's length standard. Low-value-adding services (as defined by OECD guidelines) may be charged at cost plus a 5% markup under the simplified approach, where jurisdictions accept this safe harbor.</w:t>
      </w:r>
    </w:p>
    <w:p>
      <w:pPr>
        <w:pStyle w:val="Heading3"/>
        <w:spacing w:after="100" w:before="200"/>
      </w:pPr>
      <w:r>
        <w:rPr>
          <w:rFonts w:ascii="Georgia" w:cs="Georgia" w:eastAsia="Georgia" w:hAnsi="Georgia"/>
          <w:b/>
          <w:bCs/>
          <w:color w:val="444444"/>
          <w:sz w:val="22"/>
          <w:szCs w:val="22"/>
        </w:rPr>
        <w:t xml:space="preserve">5.1.3 Intercompany Royalties and Licensing</w:t>
      </w:r>
    </w:p>
    <w:p>
      <w:pPr>
        <w:spacing w:after="150" w:before="0"/>
        <w:jc w:val="both"/>
      </w:pPr>
      <w:r>
        <w:rPr>
          <w:rFonts w:ascii="Calibri" w:cs="Calibri" w:eastAsia="Calibri" w:hAnsi="Calibri"/>
          <w:color w:val="333333"/>
          <w:sz w:val="22"/>
          <w:szCs w:val="22"/>
        </w:rPr>
        <w:t xml:space="preserve">Royalties for the use of intangible property (trademarks, technology, patents, know-how) shall be charged at arm's length rates. Royalty rates shall be supported by benchmarking analysis using the CUP method or comparable royalty rate databases. The economic substance of the intangible property ownership must be consistent with the DEMPE functions (Development, Enhancement, Maintenance, Protection, and Exploitation).</w:t>
      </w:r>
    </w:p>
    <w:p>
      <w:pPr>
        <w:pStyle w:val="Heading3"/>
        <w:spacing w:after="100" w:before="200"/>
      </w:pPr>
      <w:r>
        <w:rPr>
          <w:rFonts w:ascii="Georgia" w:cs="Georgia" w:eastAsia="Georgia" w:hAnsi="Georgia"/>
          <w:b/>
          <w:bCs/>
          <w:color w:val="444444"/>
          <w:sz w:val="22"/>
          <w:szCs w:val="22"/>
        </w:rPr>
        <w:t xml:space="preserve">5.1.4 Intercompany Loans and Cash Pooling</w:t>
      </w:r>
    </w:p>
    <w:p>
      <w:pPr>
        <w:spacing w:after="150" w:before="0"/>
        <w:jc w:val="both"/>
      </w:pPr>
      <w:r>
        <w:rPr>
          <w:rFonts w:ascii="Calibri" w:cs="Calibri" w:eastAsia="Calibri" w:hAnsi="Calibri"/>
          <w:color w:val="333333"/>
          <w:sz w:val="22"/>
          <w:szCs w:val="22"/>
        </w:rPr>
        <w:t xml:space="preserve">Intercompany loans shall bear interest at arm's length rates determined by Treasury based on: the borrower's standalone credit profile, the loan amount, tenor, currency, and security. Rates shall be benchmarked against comparable third-party lending arrangements. Cash pooling arrangements shall compensate participants based on their net positions at arm's length rates.</w:t>
      </w:r>
    </w:p>
    <w:p>
      <w:pPr>
        <w:pStyle w:val="Heading3"/>
        <w:spacing w:after="100" w:before="200"/>
      </w:pPr>
      <w:r>
        <w:rPr>
          <w:rFonts w:ascii="Georgia" w:cs="Georgia" w:eastAsia="Georgia" w:hAnsi="Georgia"/>
          <w:b/>
          <w:bCs/>
          <w:color w:val="444444"/>
          <w:sz w:val="22"/>
          <w:szCs w:val="22"/>
        </w:rPr>
        <w:t xml:space="preserve">5.1.5 Cost Allocation and Sharing</w:t>
      </w:r>
    </w:p>
    <w:p>
      <w:pPr>
        <w:spacing w:after="150" w:before="0"/>
        <w:jc w:val="both"/>
      </w:pPr>
      <w:r>
        <w:rPr>
          <w:rFonts w:ascii="Calibri" w:cs="Calibri" w:eastAsia="Calibri" w:hAnsi="Calibri"/>
          <w:color w:val="333333"/>
          <w:sz w:val="22"/>
          <w:szCs w:val="22"/>
        </w:rPr>
        <w:t xml:space="preserve">Centralized costs that benefit multiple entities shall be allocated using allocation keys that reflect the benefit received. Acceptable allocation keys include: headcount, revenue, assets, and direct usage metrics. Cost allocation agreements shall be documented with the methodology, allocation keys, and rationale for key selection.</w:t>
      </w:r>
    </w:p>
    <w:p>
      <w:pPr>
        <w:pStyle w:val="Heading2"/>
        <w:spacing w:after="150" w:before="300"/>
      </w:pPr>
      <w:r>
        <w:rPr>
          <w:rFonts w:ascii="Georgia" w:cs="Georgia" w:eastAsia="Georgia" w:hAnsi="Georgia"/>
          <w:b/>
          <w:bCs/>
          <w:color w:val="333333"/>
          <w:sz w:val="26"/>
          <w:szCs w:val="26"/>
        </w:rPr>
        <w:t xml:space="preserve">5.2 Monthly Intercompany Reconciliation</w:t>
      </w:r>
    </w:p>
    <w:p>
      <w:pPr>
        <w:spacing w:after="150" w:before="0"/>
        <w:jc w:val="both"/>
      </w:pPr>
      <w:r>
        <w:rPr>
          <w:rFonts w:ascii="Calibri" w:cs="Calibri" w:eastAsia="Calibri" w:hAnsi="Calibri"/>
          <w:color w:val="333333"/>
          <w:sz w:val="22"/>
          <w:szCs w:val="22"/>
        </w:rPr>
        <w:t xml:space="preserve">The intercompany reconciliation process shall follow these steps:</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Each entity records its side of intercompany transactions per the intercompany agreement</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By Day 2 of the close, all entities confirm their intercompany balances in [reconciliation system]</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The Accounting Manager identifies discrepancies (timing differences, exchange rate differences, unrecorded transactions)</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Discrepancies are resolved between entity accountants by Day 3</w:t>
      </w:r>
    </w:p>
    <w:p>
      <w:pPr>
        <w:spacing w:after="80"/>
        <w:ind w:left="720"/>
      </w:pPr>
      <w:r>
        <w:rPr>
          <w:rFonts w:ascii="Calibri" w:cs="Calibri" w:eastAsia="Calibri" w:hAnsi="Calibri"/>
          <w:b/>
          <w:bCs/>
          <w:color w:val="D4AF37"/>
          <w:sz w:val="22"/>
          <w:szCs w:val="22"/>
        </w:rPr>
        <w:t xml:space="preserve">5.  </w:t>
      </w:r>
      <w:r>
        <w:rPr>
          <w:rFonts w:ascii="Calibri" w:cs="Calibri" w:eastAsia="Calibri" w:hAnsi="Calibri"/>
          <w:color w:val="333333"/>
          <w:sz w:val="22"/>
          <w:szCs w:val="22"/>
        </w:rPr>
        <w:t xml:space="preserve">Elimination entries are posted during consolidation by Day 4</w:t>
      </w:r>
    </w:p>
    <w:p>
      <w:pPr>
        <w:spacing w:after="80"/>
        <w:ind w:left="720"/>
      </w:pPr>
      <w:r>
        <w:rPr>
          <w:rFonts w:ascii="Calibri" w:cs="Calibri" w:eastAsia="Calibri" w:hAnsi="Calibri"/>
          <w:b/>
          <w:bCs/>
          <w:color w:val="D4AF37"/>
          <w:sz w:val="22"/>
          <w:szCs w:val="22"/>
        </w:rPr>
        <w:t xml:space="preserve">6.  </w:t>
      </w:r>
      <w:r>
        <w:rPr>
          <w:rFonts w:ascii="Calibri" w:cs="Calibri" w:eastAsia="Calibri" w:hAnsi="Calibri"/>
          <w:color w:val="333333"/>
          <w:sz w:val="22"/>
          <w:szCs w:val="22"/>
        </w:rPr>
        <w:t xml:space="preserve">All intercompany balances net to zero at the consolidated level — verified by the Controller</w:t>
      </w:r>
    </w:p>
    <w:p>
      <w:pPr>
        <w:pStyle w:val="Heading2"/>
        <w:spacing w:after="150" w:before="300"/>
      </w:pPr>
      <w:r>
        <w:rPr>
          <w:rFonts w:ascii="Georgia" w:cs="Georgia" w:eastAsia="Georgia" w:hAnsi="Georgia"/>
          <w:b/>
          <w:bCs/>
          <w:color w:val="333333"/>
          <w:sz w:val="26"/>
          <w:szCs w:val="26"/>
        </w:rPr>
        <w:t xml:space="preserve">5.3 Intercompany Invoicing</w:t>
      </w:r>
    </w:p>
    <w:p>
      <w:pPr>
        <w:spacing w:after="150" w:before="0"/>
        <w:jc w:val="both"/>
      </w:pPr>
      <w:r>
        <w:rPr>
          <w:rFonts w:ascii="Calibri" w:cs="Calibri" w:eastAsia="Calibri" w:hAnsi="Calibri"/>
          <w:color w:val="333333"/>
          <w:sz w:val="22"/>
          <w:szCs w:val="22"/>
        </w:rPr>
        <w:t xml:space="preserve">Intercompany invoices shall be issued monthly (or as transactions occur for significant items). Invoices shall include: selling entity name and tax ID, buying entity name and tax ID, description of goods or services, quantity and unit price, currency and applicable exchange rate, payment terms, and transfer pricing method reference. Intercompany invoices shall comply with local VAT/GST invoicing requirements where applicable.</w:t>
      </w:r>
    </w:p>
    <w:p>
      <w:pPr>
        <w:pStyle w:val="Heading2"/>
        <w:spacing w:after="150" w:before="300"/>
      </w:pPr>
      <w:r>
        <w:rPr>
          <w:rFonts w:ascii="Georgia" w:cs="Georgia" w:eastAsia="Georgia" w:hAnsi="Georgia"/>
          <w:b/>
          <w:bCs/>
          <w:color w:val="333333"/>
          <w:sz w:val="26"/>
          <w:szCs w:val="26"/>
        </w:rPr>
        <w:t xml:space="preserve">5.4 Cash Settlement</w:t>
      </w:r>
    </w:p>
    <w:p>
      <w:pPr>
        <w:spacing w:after="150" w:before="0"/>
        <w:jc w:val="both"/>
      </w:pPr>
      <w:r>
        <w:rPr>
          <w:rFonts w:ascii="Calibri" w:cs="Calibri" w:eastAsia="Calibri" w:hAnsi="Calibri"/>
          <w:color w:val="333333"/>
          <w:sz w:val="22"/>
          <w:szCs w:val="22"/>
        </w:rPr>
        <w:t xml:space="preserve">Intercompany balances shall be settled in cash at least [quarterly] to demonstrate the economic substance of intercompany transactions. Netting of offsetting balances is permitted to reduce transaction costs. Settlement timing shall be consistent with the payment terms in intercompany agreements. Persistent unsettled balances shall be reviewed by Tax for deemed dividend or constructive distribution implications.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6. Approval Authorities &amp; Thresholds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Decision</w:t>
            </w:r>
          </w:p>
        </w:tc>
        <w:tc>
          <w:tcPr>
            <w:tcW w:type="dxa" w:w="2400"/>
            <w:shd w:fill="0C0C0C" w:val="clear"/>
          </w:tcPr>
          <w:p>
            <w:pPr>
              <w:spacing w:after="60" w:before="60"/>
            </w:pPr>
            <w:r>
              <w:rPr>
                <w:rFonts w:ascii="Calibri" w:cs="Calibri" w:eastAsia="Calibri" w:hAnsi="Calibri"/>
                <w:b/>
                <w:bCs/>
                <w:color w:val="D4AF37"/>
                <w:sz w:val="20"/>
                <w:szCs w:val="20"/>
              </w:rPr>
              <w:t xml:space="preserve">Threshold</w:t>
            </w:r>
          </w:p>
        </w:tc>
        <w:tc>
          <w:tcPr>
            <w:tcW w:type="dxa" w:w="4560"/>
            <w:shd w:fill="0C0C0C" w:val="clear"/>
          </w:tcPr>
          <w:p>
            <w:pPr>
              <w:spacing w:after="60" w:before="60"/>
            </w:pPr>
            <w:r>
              <w:rPr>
                <w:rFonts w:ascii="Calibri" w:cs="Calibri" w:eastAsia="Calibri" w:hAnsi="Calibri"/>
                <w:b/>
                <w:bCs/>
                <w:color w:val="D4AF37"/>
                <w:sz w:val="20"/>
                <w:szCs w:val="20"/>
              </w:rPr>
              <w:t xml:space="preserve">Approver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New intercompany transaction type</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Tax Director + Controller</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Transfer pricing methodology</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Tax Director + CFO</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Intercompany agreement execution</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Tax Director + Legal + Controller</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Intercompany loan origination</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&lt; $1M</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Treasurer + Controller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Intercompany loan origination</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&gt; $1M</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CFO</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Changes to allocation methodology</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Tax Director + Controller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APA application</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CFO + Board notification</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Settlement of transfer pricing audit</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CFO + Legal</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7. Exceptions &amp; Escalation</w:t>
      </w:r>
    </w:p>
    <w:p>
      <w:pPr>
        <w:spacing w:after="150" w:before="0"/>
        <w:jc w:val="both"/>
      </w:pPr>
      <w:r>
        <w:rPr>
          <w:rFonts w:ascii="Calibri" w:cs="Calibri" w:eastAsia="Calibri" w:hAnsi="Calibri"/>
          <w:color w:val="333333"/>
          <w:sz w:val="22"/>
          <w:szCs w:val="22"/>
        </w:rPr>
        <w:t xml:space="preserve">Exceptions to standard transfer pricing methodology require Tax Director and CFO approval with documented rationale. Transactions that do not follow arm's length pricing (e.g., regulatory constraints, transitional arrangements) shall be documented with the reason for the deviation and the plan to bring the pricing into compliance. Transfer pricing audit inquiries shall be immediately escalated to the Tax Director.</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8. Compliance Monitoring &amp; Testing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Monthly intercompany balance reconciliation (zero tolerance at consolidation)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review of actual intercompany pricing vs. policy and benchmarks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transfer pricing documentation update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benchmarking study refresh (or confirmation that existing study remains valid)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review of intercompany agreements for completeness and accuracy</w:t>
      </w:r>
    </w:p>
    <w:p>
      <w:pPr>
        <w:pStyle w:val="Heading2"/>
        <w:spacing w:after="150" w:before="300"/>
      </w:pPr>
      <w:r>
        <w:rPr>
          <w:rFonts w:ascii="Georgia" w:cs="Georgia" w:eastAsia="Georgia" w:hAnsi="Georgia"/>
          <w:b/>
          <w:bCs/>
          <w:color w:val="333333"/>
          <w:sz w:val="26"/>
          <w:szCs w:val="26"/>
        </w:rPr>
        <w:t xml:space="preserve">8.1 Key Metrics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Metric</w:t>
            </w:r>
          </w:p>
        </w:tc>
        <w:tc>
          <w:tcPr>
            <w:tcW w:type="dxa" w:w="6160"/>
            <w:shd w:fill="0C0C0C" w:val="clear"/>
          </w:tcPr>
          <w:p>
            <w:pPr>
              <w:spacing w:after="60" w:before="60"/>
            </w:pPr>
            <w:r>
              <w:rPr>
                <w:rFonts w:ascii="Calibri" w:cs="Calibri" w:eastAsia="Calibri" w:hAnsi="Calibri"/>
                <w:b/>
                <w:bCs/>
                <w:color w:val="D4AF37"/>
                <w:sz w:val="20"/>
                <w:szCs w:val="20"/>
              </w:rPr>
              <w:t xml:space="preserve">Target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Intercompany reconciliation by Day 3</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100%</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Intercompany balance at consolidation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Zero (net)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Transfer pricing documentation completeness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100% by filing deadline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Intercompany agreements in place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100% for material transactions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Transfer pricing audit adjustments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Zero</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9. Related Policies &amp; References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Tax Compliance &amp; Planning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Foreign Currency Management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Financial Close &amp; Reporting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Cash &amp; Treasury Management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IRC Section 482</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OECD Transfer Pricing Guidelines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ASC 850, Related Party Disclosures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BEPS Action 13 (CbCR)</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10. Appendices</w:t>
      </w:r>
    </w:p>
    <w:p>
      <w:pPr>
        <w:pStyle w:val="Heading2"/>
        <w:spacing w:after="150" w:before="300"/>
      </w:pPr>
      <w:r>
        <w:rPr>
          <w:rFonts w:ascii="Georgia" w:cs="Georgia" w:eastAsia="Georgia" w:hAnsi="Georgia"/>
          <w:b/>
          <w:bCs/>
          <w:color w:val="333333"/>
          <w:sz w:val="26"/>
          <w:szCs w:val="26"/>
        </w:rPr>
        <w:t xml:space="preserve">Appendix A — Transfer Pricing Method Selection Matrix</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Transaction Type</w:t>
            </w:r>
          </w:p>
        </w:tc>
        <w:tc>
          <w:tcPr>
            <w:tcW w:type="dxa" w:w="2400"/>
            <w:shd w:fill="0C0C0C" w:val="clear"/>
          </w:tcPr>
          <w:p>
            <w:pPr>
              <w:spacing w:after="60" w:before="60"/>
            </w:pPr>
            <w:r>
              <w:rPr>
                <w:rFonts w:ascii="Calibri" w:cs="Calibri" w:eastAsia="Calibri" w:hAnsi="Calibri"/>
                <w:b/>
                <w:bCs/>
                <w:color w:val="D4AF37"/>
                <w:sz w:val="20"/>
                <w:szCs w:val="20"/>
              </w:rPr>
              <w:t xml:space="preserve">Primary Method</w:t>
            </w:r>
          </w:p>
        </w:tc>
        <w:tc>
          <w:tcPr>
            <w:tcW w:type="dxa" w:w="4560"/>
            <w:shd w:fill="0C0C0C" w:val="clear"/>
          </w:tcPr>
          <w:p>
            <w:pPr>
              <w:spacing w:after="60" w:before="60"/>
            </w:pPr>
            <w:r>
              <w:rPr>
                <w:rFonts w:ascii="Calibri" w:cs="Calibri" w:eastAsia="Calibri" w:hAnsi="Calibri"/>
                <w:b/>
                <w:bCs/>
                <w:color w:val="D4AF37"/>
                <w:sz w:val="20"/>
                <w:szCs w:val="20"/>
              </w:rPr>
              <w:t xml:space="preserve">Alternative Method</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Tangible goods (commodity-like)</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CUP</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Cost Plus</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Tangible goods (differentiated)</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Cost Plus or Resale Price</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TNMM/CPM</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Management services</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Cost Plus (5% safe harbor for LVAS)</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TNMM/CPM</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IT services</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Cost Plus</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TNMM/CPM</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Royalties</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CUP (comparable royalty rates)</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Profit Split</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Intercompany loans</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CUP (comparable interest rates)</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N/A</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Contract R&amp;D</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Cost Plus</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TNMM/CPM</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Distribution</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Resale Price</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TNMM/CPM</w:t>
            </w:r>
          </w:p>
        </w:tc>
      </w:tr>
    </w:tbl>
    <w:p>
      <w:pPr>
        <w:pStyle w:val="Heading2"/>
        <w:spacing w:after="150" w:before="300"/>
      </w:pPr>
      <w:r>
        <w:rPr>
          <w:rFonts w:ascii="Georgia" w:cs="Georgia" w:eastAsia="Georgia" w:hAnsi="Georgia"/>
          <w:b/>
          <w:bCs/>
          <w:color w:val="333333"/>
          <w:sz w:val="26"/>
          <w:szCs w:val="26"/>
        </w:rPr>
        <w:t xml:space="preserve">Appendix B — Intercompany Agreement Checklist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Legal entity names and jurisdictions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Effective date and term</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Description of goods, services, or intangibles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Pricing methodology with formula or rate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Payment terms and currency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Risk allocation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Termination provisions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Governing law</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Signatures of authorized representatives</w:t>
      </w:r>
    </w:p>
    <w:p>
      <w:pPr>
        <w:pStyle w:val="Heading2"/>
        <w:spacing w:after="150" w:before="300"/>
      </w:pPr>
      <w:r>
        <w:rPr>
          <w:rFonts w:ascii="Georgia" w:cs="Georgia" w:eastAsia="Georgia" w:hAnsi="Georgia"/>
          <w:b/>
          <w:bCs/>
          <w:color w:val="333333"/>
          <w:sz w:val="26"/>
          <w:szCs w:val="26"/>
        </w:rPr>
        <w:t xml:space="preserve">Appendix C — Documentation Requirements by Jurisdiction</w:t>
      </w:r>
    </w:p>
    <w:p>
      <w:pPr>
        <w:spacing w:after="150" w:before="0"/>
        <w:jc w:val="both"/>
      </w:pPr>
      <w:r>
        <w:rPr>
          <w:rFonts w:ascii="Calibri" w:cs="Calibri" w:eastAsia="Calibri" w:hAnsi="Calibri"/>
          <w:color w:val="333333"/>
          <w:sz w:val="22"/>
          <w:szCs w:val="22"/>
        </w:rPr>
        <w:t xml:space="preserve">[Company Name] operates in the following jurisdictions with specific transfer pricing documentation requirements. The Tax Director shall maintain a current matrix of filing deadlines, documentation standards, and penalty thresholds for each jurisdiction.</w:t>
      </w:r>
    </w:p>
    <w:p>
      <w:pPr>
        <w:pBdr>
          <w:left w:val="single" w:color="D4AF37" w:sz="8"/>
        </w:pBdr>
        <w:spacing w:after="200" w:before="100"/>
        <w:ind w:left="360"/>
      </w:pPr>
      <w:r>
        <w:rPr>
          <w:rFonts w:ascii="Calibri" w:cs="Calibri" w:eastAsia="Calibri" w:hAnsi="Calibri"/>
          <w:b/>
          <w:bCs/>
          <w:color w:val="D4AF37"/>
          <w:sz w:val="20"/>
          <w:szCs w:val="20"/>
        </w:rPr>
        <w:t xml:space="preserve">Note: </w:t>
      </w:r>
      <w:r>
        <w:rPr>
          <w:rFonts w:ascii="Calibri" w:cs="Calibri" w:eastAsia="Calibri" w:hAnsi="Calibri"/>
          <w:i/>
          <w:iCs/>
          <w:color w:val="666666"/>
          <w:sz w:val="20"/>
          <w:szCs w:val="20"/>
        </w:rPr>
        <w:t xml:space="preserve">This appendix should be customized with the company's actual jurisdictions and their specific requirements.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11. Transfer Pricing Audit Defense</w:t>
      </w:r>
    </w:p>
    <w:p>
      <w:pPr>
        <w:pStyle w:val="Heading2"/>
        <w:spacing w:after="150" w:before="300"/>
      </w:pPr>
      <w:r>
        <w:rPr>
          <w:rFonts w:ascii="Georgia" w:cs="Georgia" w:eastAsia="Georgia" w:hAnsi="Georgia"/>
          <w:b/>
          <w:bCs/>
          <w:color w:val="333333"/>
          <w:sz w:val="26"/>
          <w:szCs w:val="26"/>
        </w:rPr>
        <w:t xml:space="preserve">11.1 Audit Readiness</w:t>
      </w:r>
    </w:p>
    <w:p>
      <w:pPr>
        <w:spacing w:after="150" w:before="0"/>
        <w:jc w:val="both"/>
      </w:pPr>
      <w:r>
        <w:rPr>
          <w:rFonts w:ascii="Calibri" w:cs="Calibri" w:eastAsia="Calibri" w:hAnsi="Calibri"/>
          <w:color w:val="333333"/>
          <w:sz w:val="22"/>
          <w:szCs w:val="22"/>
        </w:rPr>
        <w:t xml:space="preserve">The Tax Director shall maintain audit-ready transfer pricing files for all jurisdictions where [Company Name] has material intercompany transactions. Audit readiness includes: current master file and local files per OECD guidelines, benchmarking studies no older than 3 years, executed intercompany agreements for all material transaction types, and contemporaneous documentation supporting the arm's length nature of pricing.</w:t>
      </w:r>
    </w:p>
    <w:p>
      <w:pPr>
        <w:pStyle w:val="Heading2"/>
        <w:spacing w:after="150" w:before="300"/>
      </w:pPr>
      <w:r>
        <w:rPr>
          <w:rFonts w:ascii="Georgia" w:cs="Georgia" w:eastAsia="Georgia" w:hAnsi="Georgia"/>
          <w:b/>
          <w:bCs/>
          <w:color w:val="333333"/>
          <w:sz w:val="26"/>
          <w:szCs w:val="26"/>
        </w:rPr>
        <w:t xml:space="preserve">11.2 Audit Response Protocol</w:t>
      </w:r>
    </w:p>
    <w:p>
      <w:pPr>
        <w:spacing w:after="150" w:before="0"/>
        <w:jc w:val="both"/>
      </w:pPr>
      <w:r>
        <w:rPr>
          <w:rFonts w:ascii="Calibri" w:cs="Calibri" w:eastAsia="Calibri" w:hAnsi="Calibri"/>
          <w:color w:val="333333"/>
          <w:sz w:val="22"/>
          <w:szCs w:val="22"/>
        </w:rPr>
        <w:t xml:space="preserve">Upon receipt of a transfer pricing audit notice or information request, the following protocol shall be followed:</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Tax Director notified immediately; CFO informed within 24 hours</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External transfer pricing advisor engaged within 5 business days</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Information request reviewed by Tax Director and advisor before any response</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All responses reviewed by Legal for privilege protection</w:t>
      </w:r>
    </w:p>
    <w:p>
      <w:pPr>
        <w:spacing w:after="80"/>
        <w:ind w:left="720"/>
      </w:pPr>
      <w:r>
        <w:rPr>
          <w:rFonts w:ascii="Calibri" w:cs="Calibri" w:eastAsia="Calibri" w:hAnsi="Calibri"/>
          <w:b/>
          <w:bCs/>
          <w:color w:val="D4AF37"/>
          <w:sz w:val="22"/>
          <w:szCs w:val="22"/>
        </w:rPr>
        <w:t xml:space="preserve">5.  </w:t>
      </w:r>
      <w:r>
        <w:rPr>
          <w:rFonts w:ascii="Calibri" w:cs="Calibri" w:eastAsia="Calibri" w:hAnsi="Calibri"/>
          <w:color w:val="333333"/>
          <w:sz w:val="22"/>
          <w:szCs w:val="22"/>
        </w:rPr>
        <w:t xml:space="preserve">Audit progress reported to CFO monthly and to Audit Committee quarterly</w:t>
      </w:r>
    </w:p>
    <w:p>
      <w:pPr>
        <w:pStyle w:val="Heading2"/>
        <w:spacing w:after="150" w:before="300"/>
      </w:pPr>
      <w:r>
        <w:rPr>
          <w:rFonts w:ascii="Georgia" w:cs="Georgia" w:eastAsia="Georgia" w:hAnsi="Georgia"/>
          <w:b/>
          <w:bCs/>
          <w:color w:val="333333"/>
          <w:sz w:val="26"/>
          <w:szCs w:val="26"/>
        </w:rPr>
        <w:t xml:space="preserve">11.3 Advance Pricing Agreements</w:t>
      </w:r>
    </w:p>
    <w:p>
      <w:pPr>
        <w:spacing w:after="150" w:before="0"/>
        <w:jc w:val="both"/>
      </w:pPr>
      <w:r>
        <w:rPr>
          <w:rFonts w:ascii="Calibri" w:cs="Calibri" w:eastAsia="Calibri" w:hAnsi="Calibri"/>
          <w:color w:val="333333"/>
          <w:sz w:val="22"/>
          <w:szCs w:val="22"/>
        </w:rPr>
        <w:t xml:space="preserve">[Company Name] shall evaluate the cost-benefit of seeking APAs for significant, recurring intercompany transactions. APAs provide prospective certainty on transfer pricing methodology for typically 5 years and can be bilateral (covering both jurisdictions). The decision to pursue an APA shall be made by the CFO based on: annual intercompany volume, audit risk in the relevant jurisdictions, complexity of the transactions, and estimated cost of the APA process.</w:t>
      </w:r>
    </w:p>
    <w:p>
      <w:pPr>
        <w:pStyle w:val="Heading2"/>
        <w:spacing w:after="150" w:before="300"/>
      </w:pPr>
      <w:r>
        <w:rPr>
          <w:rFonts w:ascii="Georgia" w:cs="Georgia" w:eastAsia="Georgia" w:hAnsi="Georgia"/>
          <w:b/>
          <w:bCs/>
          <w:color w:val="333333"/>
          <w:sz w:val="26"/>
          <w:szCs w:val="26"/>
        </w:rPr>
        <w:t xml:space="preserve">11.4 BEPS and Pillar Two Compliance</w:t>
      </w:r>
    </w:p>
    <w:p>
      <w:pPr>
        <w:spacing w:after="150" w:before="0"/>
        <w:jc w:val="both"/>
      </w:pPr>
      <w:r>
        <w:rPr>
          <w:rFonts w:ascii="Calibri" w:cs="Calibri" w:eastAsia="Calibri" w:hAnsi="Calibri"/>
          <w:color w:val="333333"/>
          <w:sz w:val="22"/>
          <w:szCs w:val="22"/>
        </w:rPr>
        <w:t xml:space="preserve">[Company Name] shall monitor developments in the OECD BEPS framework and Pillar Two global minimum tax rules. The Tax Director shall assess the impact of: Country-by-Country Reporting requirements, the global minimum tax (15% effective rate) and its impact on existing structures, substance-over-form challenges to intercompany arrangements, and digital services tax developments in key jurisdictions.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Revision History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Version</w:t>
            </w:r>
          </w:p>
        </w:tc>
        <w:tc>
          <w:tcPr>
            <w:tcW w:type="dxa" w:w="2400"/>
            <w:shd w:fill="0C0C0C" w:val="clear"/>
          </w:tcPr>
          <w:p>
            <w:pPr>
              <w:spacing w:after="60" w:before="60"/>
            </w:pPr>
            <w:r>
              <w:rPr>
                <w:rFonts w:ascii="Calibri" w:cs="Calibri" w:eastAsia="Calibri" w:hAnsi="Calibri"/>
                <w:b/>
                <w:bCs/>
                <w:color w:val="D4AF37"/>
                <w:sz w:val="20"/>
                <w:szCs w:val="20"/>
              </w:rPr>
              <w:t xml:space="preserve">Date</w:t>
            </w:r>
          </w:p>
        </w:tc>
        <w:tc>
          <w:tcPr>
            <w:tcW w:type="dxa" w:w="45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1.0</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[Effective Date]</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Initial policy document</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bl>
    <w:p>
      <w:pPr>
        <w:spacing w:after="150" w:before="0"/>
        <w:jc w:val="both"/>
      </w:pPr>
      <w:r>
        <w:rPr>
          <w:rFonts w:ascii="Calibri" w:cs="Calibri" w:eastAsia="Calibri" w:hAnsi="Calibri"/>
          <w:color w:val="333333"/>
          <w:sz w:val="22"/>
          <w:szCs w:val="22"/>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Name / Signature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Prepared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Reviewed By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Approved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[CFO Name], Chief Financial Officer</w:t>
            </w:r>
          </w:p>
        </w:tc>
      </w:tr>
    </w:tbl>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2A2A" w:sz="2"/>
      </w:pBdr>
      <w:spacing w:before="100"/>
      <w:jc w:val="center"/>
    </w:pPr>
    <w:r>
      <w:rPr>
        <w:rFonts w:ascii="Calibri" w:cs="Calibri" w:eastAsia="Calibri" w:hAnsi="Calibri"/>
        <w:color w:val="9CA3AF"/>
        <w:sz w:val="16"/>
        <w:szCs w:val="16"/>
      </w:rPr>
      <w:t xml:space="preserve">Confidential — [Company Name]  |  Page </w:t>
    </w:r>
    <w:r>
      <w:rPr>
        <w:rFonts w:ascii="Calibri" w:cs="Calibri" w:eastAsia="Calibri" w:hAnsi="Calibri"/>
        <w:color w:val="9CA3AF"/>
        <w:sz w:val="16"/>
        <w:szCs w:val="16"/>
      </w:rPr>
      <w:fldChar w:fldCharType="begin"/>
      <w:instrText xml:space="preserve">PAGE</w:instrText>
      <w:fldChar w:fldCharType="separate"/>
      <w:fldChar w:fldCharType="end"/>
    </w:r>
    <w:r>
      <w:rPr>
        <w:rFonts w:ascii="Calibri" w:cs="Calibri" w:eastAsia="Calibri" w:hAnsi="Calibri"/>
        <w:color w:val="9CA3AF"/>
        <w:sz w:val="16"/>
        <w:szCs w:val="16"/>
      </w:rPr>
      <w:t xml:space="preserve"> of </w:t>
    </w:r>
    <w:r>
      <w:rPr>
        <w:rFonts w:ascii="Calibri" w:cs="Calibri" w:eastAsia="Calibri" w:hAnsi="Calibri"/>
        <w:color w:val="9CA3AF"/>
        <w:sz w:val="16"/>
        <w:szCs w:val="16"/>
      </w:rPr>
      <w:fldChar w:fldCharType="begin"/>
      <w:instrText xml:space="preserve">NUMPAGES</w:instrText>
      <w:fldChar w:fldCharType="separate"/>
      <w:fldChar w:fldCharType="end"/>
    </w:r>
    <w:r>
      <w:rPr>
        <w:rFonts w:ascii="Calibri" w:cs="Calibri" w:eastAsia="Calibri" w:hAnsi="Calibri"/>
        <w:color w:val="D4AF37"/>
        <w:sz w:val="16"/>
        <w:szCs w:val="16"/>
      </w:rPr>
      <w:t xml:space="preserve">  |  EFuturesCFO.com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9CA3AF"/>
        <w:sz w:val="16"/>
        <w:szCs w:val="16"/>
      </w:rPr>
      <w:t xml:space="preserve">[Company Name]</w:t>
    </w:r>
    <w:r>
      <w:rPr>
        <w:rFonts w:ascii="Calibri" w:cs="Calibri" w:eastAsia="Calibri" w:hAnsi="Calibri"/>
        <w:color w:val="9CA3AF"/>
        <w:sz w:val="16"/>
        <w:szCs w:val="16"/>
      </w:rPr>
      <w:t xml:space="preserve">  |  </w:t>
    </w:r>
    <w:r>
      <w:rPr>
        <w:rFonts w:ascii="Calibri" w:cs="Calibri" w:eastAsia="Calibri" w:hAnsi="Calibri"/>
        <w:i/>
        <w:iCs/>
        <w:color w:val="9CA3AF"/>
        <w:sz w:val="16"/>
        <w:szCs w:val="16"/>
      </w:rPr>
      <w:t xml:space="preserve">Intercompany Transactions &amp; Transfer Pricing Policy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Georgia" w:cs="Georgia" w:eastAsia="Georgia" w:hAnsi="Georgia"/>
      <w:b/>
      <w:bCs/>
      <w:color w:val="0C0C0C"/>
      <w:sz w:val="32"/>
      <w:szCs w:val="32"/>
    </w:rPr>
  </w:style>
  <w:style w:type="paragraph" w:styleId="Heading2">
    <w:name w:val="Heading 2"/>
    <w:basedOn w:val="Normal"/>
    <w:next w:val="Normal"/>
    <w:qFormat/>
    <w:rPr>
      <w:rFonts w:ascii="Georgia" w:cs="Georgia" w:eastAsia="Georgia" w:hAnsi="Georgia"/>
      <w:b/>
      <w:bCs/>
      <w:color w:val="333333"/>
      <w:sz w:val="26"/>
      <w:szCs w:val="26"/>
    </w:rPr>
  </w:style>
  <w:style w:type="paragraph" w:styleId="Heading3">
    <w:name w:val="Heading 3"/>
    <w:basedOn w:val="Normal"/>
    <w:next w:val="Normal"/>
    <w:qFormat/>
    <w:rPr>
      <w:rFonts w:ascii="Georgia" w:cs="Georgia" w:eastAsia="Georgia" w:hAnsi="Georgia"/>
      <w:b/>
      <w:bCs/>
      <w:color w:val="444444"/>
      <w:sz w:val="22"/>
      <w:szCs w:val="22"/>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2026-07-13T07:26:11.620Z</dcterms:created>
  <dcterms:modified xsi:type="dcterms:W3CDTF">2026-07-13T07:26:11.636Z</dcterms:modified>
</cp:coreProperties>
</file>

<file path=docProps/custom.xml><?xml version="1.0" encoding="utf-8"?>
<Properties xmlns="http://schemas.openxmlformats.org/officeDocument/2006/custom-properties" xmlns:vt="http://schemas.openxmlformats.org/officeDocument/2006/docPropsVTypes"/>
</file>