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Equity Compensation Administration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Equity Compensation Administration Policy establishes the standards, procedures, and controls governing how [Company Name] grants, administers, accounts for, and reports equity-based compensation awards. The policy ensures compliance with ASC 718 (Compensation — Stock Compensation), SEC reporting requirements, tax regulations (IRC Section 409A, Section 422, Section 162(m)), and the terms of [Company Name]'s equity incentive plan(s).</w:t>
      </w:r>
    </w:p>
    <w:p>
      <w:pPr>
        <w:spacing w:after="150" w:before="0"/>
        <w:jc w:val="both"/>
      </w:pPr>
      <w:r>
        <w:rPr>
          <w:rFonts w:ascii="Calibri" w:cs="Calibri" w:eastAsia="Calibri" w:hAnsi="Calibri"/>
          <w:color w:val="333333"/>
          <w:sz w:val="22"/>
          <w:szCs w:val="22"/>
        </w:rPr>
        <w:t xml:space="preserve">This policy applies to all equity-based compensation awards including: stock options (incentive stock options and non-qualified stock options), restricted stock awards (RSAs), restricted stock units (RSUs), performance-based stock units (PSUs), stock appreciation rights (SARs), and employee stock purchase plan (ESPP) rights.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equity awards are granted in compliance with the equity plan and applicable laws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accurate records of all outstanding awards, exercises, and settlements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Recognize stock-based compensation expense accurately per ASC 718</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SEC reporting requirements (proxy disclosure, Form 4 filing, equity plan registration)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tax treatment and withholding for equity award events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insider trading violations related to equity compensation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Stock Option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right to purchase shares at a specified price (exercise/strike price) during a specified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ISO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Incentive Stock Option — a tax-qualified option under IRC Section 422 with favorable employee tax treatment.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NSO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Non-Qualified Stock Option — an option that does not qualify for ISO tax treatment.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RSU</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Restricted Stock Unit — a promise to deliver shares (or cash equivalent) upon vesting.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PSU</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Performance Stock Unit — an RSU with vesting contingent on achievement of performance metrics.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Grant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date on which the company and the employee mutually agree to the terms of the award.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Vesting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process by which the employee earns the right to the equity award over time or upon achievement of conditions.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Exercise Price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price at which the option holder may purchase shares (must be at least FMV on the grant date per Section 409A).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Fair Market Value (FMV)</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 publicly traded companies, typically the closing stock price on the grant date. For private companies, determined by a 409A valuation.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409A Valuation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independent appraisal of the fair market value of private company stock, required to establish exercise prices for stock options.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Section 16</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SEC rules requiring officers and directors to file Forms 3, 4, and 5 reporting their equity transactions.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Grant Approval Authority</w:t>
      </w:r>
    </w:p>
    <w:p>
      <w:pPr>
        <w:spacing w:after="150" w:before="0"/>
        <w:jc w:val="both"/>
      </w:pPr>
      <w:r>
        <w:rPr>
          <w:rFonts w:ascii="Calibri" w:cs="Calibri" w:eastAsia="Calibri" w:hAnsi="Calibri"/>
          <w:color w:val="333333"/>
          <w:sz w:val="22"/>
          <w:szCs w:val="22"/>
        </w:rPr>
        <w:t xml:space="preserve">Equity awards shall be granted only under an equity incentive plan approved by the Board of Directors and, if required, by shareholders. The following approval authorities apply: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Grant Type</w:t>
            </w:r>
          </w:p>
        </w:tc>
        <w:tc>
          <w:tcPr>
            <w:tcW w:type="dxa" w:w="2400"/>
            <w:shd w:fill="0C0C0C" w:val="clear"/>
          </w:tcPr>
          <w:p>
            <w:pPr>
              <w:spacing w:after="60" w:before="60"/>
            </w:pPr>
            <w:r>
              <w:rPr>
                <w:rFonts w:ascii="Calibri" w:cs="Calibri" w:eastAsia="Calibri" w:hAnsi="Calibri"/>
                <w:b/>
                <w:bCs/>
                <w:color w:val="D4AF37"/>
                <w:sz w:val="20"/>
                <w:szCs w:val="20"/>
              </w:rPr>
              <w:t xml:space="preserve">Approver</w:t>
            </w:r>
          </w:p>
        </w:tc>
        <w:tc>
          <w:tcPr>
            <w:tcW w:type="dxa" w:w="4560"/>
            <w:shd w:fill="0C0C0C" w:val="clear"/>
          </w:tcPr>
          <w:p>
            <w:pPr>
              <w:spacing w:after="60" w:before="60"/>
            </w:pPr>
            <w:r>
              <w:rPr>
                <w:rFonts w:ascii="Calibri" w:cs="Calibri" w:eastAsia="Calibri" w:hAnsi="Calibri"/>
                <w:b/>
                <w:bCs/>
                <w:color w:val="D4AF37"/>
                <w:sz w:val="20"/>
                <w:szCs w:val="20"/>
              </w:rPr>
              <w:t xml:space="preserve">Conditions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hire grants (within guidelines)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CEO (delegated by Board)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Per the approved new hire grant matrix</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Annual refresh grants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Compensation Committee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Per the annual equity budget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Promotion / retention grants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CEO + Compensation Committee chair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Per approved guidelines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Executive officer grants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Compensation Committee only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Cannot be delegated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Director grants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Full Board (no self-approval)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Per director compensation program</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Equity plan amendments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Board + shareholder approval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If required by plan terms or listing rules</w:t>
            </w:r>
          </w:p>
        </w:tc>
      </w:tr>
    </w:tbl>
    <w:p>
      <w:pPr>
        <w:pStyle w:val="Heading2"/>
        <w:spacing w:after="150" w:before="300"/>
      </w:pPr>
      <w:r>
        <w:rPr>
          <w:rFonts w:ascii="Georgia" w:cs="Georgia" w:eastAsia="Georgia" w:hAnsi="Georgia"/>
          <w:b/>
          <w:bCs/>
          <w:color w:val="333333"/>
          <w:sz w:val="26"/>
          <w:szCs w:val="26"/>
        </w:rPr>
        <w:t xml:space="preserve">3.2 Grant Timing and Pricing</w:t>
      </w:r>
    </w:p>
    <w:p>
      <w:pPr>
        <w:spacing w:after="150" w:before="0"/>
        <w:jc w:val="both"/>
      </w:pPr>
      <w:r>
        <w:rPr>
          <w:rFonts w:ascii="Calibri" w:cs="Calibri" w:eastAsia="Calibri" w:hAnsi="Calibri"/>
          <w:color w:val="333333"/>
          <w:sz w:val="22"/>
          <w:szCs w:val="22"/>
        </w:rPr>
        <w:t xml:space="preserve">Equity awards shall be granted with an exercise price (for options) or value (for full-value awards) based on the fair market value on the grant date. [Company Name] shall not backdate grants, time grants to coincide with low stock prices, or delay the disclosure of material information to benefit award recipients. Grant dates shall be established through a regular, pre-determined granting schedule or board/committee action. Options granted with an exercise price below FMV violate Section 409A and create adverse tax consequences.</w:t>
      </w:r>
    </w:p>
    <w:p>
      <w:pPr>
        <w:pStyle w:val="Heading2"/>
        <w:spacing w:after="150" w:before="300"/>
      </w:pPr>
      <w:r>
        <w:rPr>
          <w:rFonts w:ascii="Georgia" w:cs="Georgia" w:eastAsia="Georgia" w:hAnsi="Georgia"/>
          <w:b/>
          <w:bCs/>
          <w:color w:val="333333"/>
          <w:sz w:val="26"/>
          <w:szCs w:val="26"/>
        </w:rPr>
        <w:t xml:space="preserve">3.3 Vesting Schedules</w:t>
      </w:r>
    </w:p>
    <w:p>
      <w:pPr>
        <w:spacing w:after="150" w:before="0"/>
        <w:jc w:val="both"/>
      </w:pPr>
      <w:r>
        <w:rPr>
          <w:rFonts w:ascii="Calibri" w:cs="Calibri" w:eastAsia="Calibri" w:hAnsi="Calibri"/>
          <w:color w:val="333333"/>
          <w:sz w:val="22"/>
          <w:szCs w:val="22"/>
        </w:rPr>
        <w:t xml:space="preserve">Standard vesting schedules shall be: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Stock Options: 4-year vesting, 25% cliff after 12 months, then monthly or quarterly thereafter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RSUs: 4-year vesting, 25% annual vesting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PSUs: 3-year performance period, cliff vesting based on achievement</w:t>
      </w:r>
    </w:p>
    <w:p>
      <w:pPr>
        <w:spacing w:after="150" w:before="0"/>
        <w:jc w:val="both"/>
      </w:pPr>
      <w:r>
        <w:rPr>
          <w:rFonts w:ascii="Calibri" w:cs="Calibri" w:eastAsia="Calibri" w:hAnsi="Calibri"/>
          <w:color w:val="333333"/>
          <w:sz w:val="22"/>
          <w:szCs w:val="22"/>
        </w:rPr>
        <w:t xml:space="preserve">Non-standard vesting schedules require Compensation Committee approval.</w:t>
      </w:r>
    </w:p>
    <w:p>
      <w:pPr>
        <w:pStyle w:val="Heading2"/>
        <w:spacing w:after="150" w:before="300"/>
      </w:pPr>
      <w:r>
        <w:rPr>
          <w:rFonts w:ascii="Georgia" w:cs="Georgia" w:eastAsia="Georgia" w:hAnsi="Georgia"/>
          <w:b/>
          <w:bCs/>
          <w:color w:val="333333"/>
          <w:sz w:val="26"/>
          <w:szCs w:val="26"/>
        </w:rPr>
        <w:t xml:space="preserve">3.4 Insider Trading Compliance</w:t>
      </w:r>
    </w:p>
    <w:p>
      <w:pPr>
        <w:spacing w:after="150" w:before="0"/>
        <w:jc w:val="both"/>
      </w:pPr>
      <w:r>
        <w:rPr>
          <w:rFonts w:ascii="Calibri" w:cs="Calibri" w:eastAsia="Calibri" w:hAnsi="Calibri"/>
          <w:color w:val="333333"/>
          <w:sz w:val="22"/>
          <w:szCs w:val="22"/>
        </w:rPr>
        <w:t xml:space="preserve">All equity award transactions (exercises, sales, transfers) are subject to [Company Name]'s Insider Trading Policy. Section 16 officers and directors must: pre-clear all transactions with the General Counsel, file Form 4 within two business days of the transaction, and comply with blackout period restrictions. 10b5-1 trading plans are encouraged for systematic diversification.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Compensation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equity grants, plan amendments, and executive compensation. Sets equity budget and guidelines.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stock compensation expense impact. Approves equity-related disclosures. Oversees 409A valuation process.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Equity Plan Administrator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equity administration platform. Processes grants, exercises, and settlements. Prepares equity reports.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 / General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Section 16 filings. Enforces insider trading policy. Reviews equity plan compliance. Manages trading window.</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ASC 718 expense calculations. Ensures proper GL recording. Reviews equity footnote disclosures.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tax withholding on equity events. Advises on ISO/NSO tax treatment. Manages ESPP tax reporting.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HR / Total Rewards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Communicates equity awards to employees. Manages equity grant guidelines. Supports employee equity education.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Valuation Firm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409A valuations for private companies. Provides Black-Scholes or other option pricing model inputs.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Grant Process</w:t>
      </w:r>
    </w:p>
    <w:p>
      <w:pPr>
        <w:pStyle w:val="Heading3"/>
        <w:spacing w:after="100" w:before="200"/>
      </w:pPr>
      <w:r>
        <w:rPr>
          <w:rFonts w:ascii="Georgia" w:cs="Georgia" w:eastAsia="Georgia" w:hAnsi="Georgia"/>
          <w:b/>
          <w:bCs/>
          <w:color w:val="444444"/>
          <w:sz w:val="22"/>
          <w:szCs w:val="22"/>
        </w:rPr>
        <w:t xml:space="preserve">5.1.1 Grant Initiation</w:t>
      </w:r>
    </w:p>
    <w:p>
      <w:pPr>
        <w:spacing w:after="150" w:before="0"/>
        <w:jc w:val="both"/>
      </w:pPr>
      <w:r>
        <w:rPr>
          <w:rFonts w:ascii="Calibri" w:cs="Calibri" w:eastAsia="Calibri" w:hAnsi="Calibri"/>
          <w:color w:val="333333"/>
          <w:sz w:val="22"/>
          <w:szCs w:val="22"/>
        </w:rPr>
        <w:t xml:space="preserve">Equity grant requests shall be submitted through [equity administration system] with: employee name and ID, grant type, number of shares, vesting schedule, and business justification. New hire grants shall be processed within [30] days of start date (per the offer letter).</w:t>
      </w:r>
    </w:p>
    <w:p>
      <w:pPr>
        <w:pStyle w:val="Heading3"/>
        <w:spacing w:after="100" w:before="200"/>
      </w:pPr>
      <w:r>
        <w:rPr>
          <w:rFonts w:ascii="Georgia" w:cs="Georgia" w:eastAsia="Georgia" w:hAnsi="Georgia"/>
          <w:b/>
          <w:bCs/>
          <w:color w:val="444444"/>
          <w:sz w:val="22"/>
          <w:szCs w:val="22"/>
        </w:rPr>
        <w:t xml:space="preserve">5.1.2 Grant Documentation</w:t>
      </w:r>
    </w:p>
    <w:p>
      <w:pPr>
        <w:spacing w:after="150" w:before="0"/>
        <w:jc w:val="both"/>
      </w:pPr>
      <w:r>
        <w:rPr>
          <w:rFonts w:ascii="Calibri" w:cs="Calibri" w:eastAsia="Calibri" w:hAnsi="Calibri"/>
          <w:color w:val="333333"/>
          <w:sz w:val="22"/>
          <w:szCs w:val="22"/>
        </w:rPr>
        <w:t xml:space="preserve">Each grant shall be documented with: board or committee resolution (or delegated authority documentation), grant agreement signed by the employee, exercise price determination and FMV documentation, and vesting schedule. All grant documentation shall be maintained in the equity administration system.</w:t>
      </w:r>
    </w:p>
    <w:p>
      <w:pPr>
        <w:pStyle w:val="Heading2"/>
        <w:spacing w:after="150" w:before="300"/>
      </w:pPr>
      <w:r>
        <w:rPr>
          <w:rFonts w:ascii="Georgia" w:cs="Georgia" w:eastAsia="Georgia" w:hAnsi="Georgia"/>
          <w:b/>
          <w:bCs/>
          <w:color w:val="333333"/>
          <w:sz w:val="26"/>
          <w:szCs w:val="26"/>
        </w:rPr>
        <w:t xml:space="preserve">5.2 ASC 718 Accounting</w:t>
      </w:r>
    </w:p>
    <w:p>
      <w:pPr>
        <w:pStyle w:val="Heading3"/>
        <w:spacing w:after="100" w:before="200"/>
      </w:pPr>
      <w:r>
        <w:rPr>
          <w:rFonts w:ascii="Georgia" w:cs="Georgia" w:eastAsia="Georgia" w:hAnsi="Georgia"/>
          <w:b/>
          <w:bCs/>
          <w:color w:val="444444"/>
          <w:sz w:val="22"/>
          <w:szCs w:val="22"/>
        </w:rPr>
        <w:t xml:space="preserve">5.2.1 Fair Value Measurement</w:t>
      </w:r>
    </w:p>
    <w:p>
      <w:pPr>
        <w:spacing w:after="150" w:before="0"/>
        <w:jc w:val="both"/>
      </w:pPr>
      <w:r>
        <w:rPr>
          <w:rFonts w:ascii="Calibri" w:cs="Calibri" w:eastAsia="Calibri" w:hAnsi="Calibri"/>
          <w:color w:val="333333"/>
          <w:sz w:val="22"/>
          <w:szCs w:val="22"/>
        </w:rPr>
        <w:t xml:space="preserve">The fair value of equity awards shall be measured at the grant date using: Black-Scholes or lattice model for stock options and SARs, closing stock price for RSUs and RSAs, and Monte Carlo simulation for market-condition PSUs. Assumptions (expected term, volatility, risk-free rate, dividend yield) shall be documented and reviewed by the Controller.</w:t>
      </w:r>
    </w:p>
    <w:p>
      <w:pPr>
        <w:pStyle w:val="Heading3"/>
        <w:spacing w:after="100" w:before="200"/>
      </w:pPr>
      <w:r>
        <w:rPr>
          <w:rFonts w:ascii="Georgia" w:cs="Georgia" w:eastAsia="Georgia" w:hAnsi="Georgia"/>
          <w:b/>
          <w:bCs/>
          <w:color w:val="444444"/>
          <w:sz w:val="22"/>
          <w:szCs w:val="22"/>
        </w:rPr>
        <w:t xml:space="preserve">5.2.2 Expense Recognition</w:t>
      </w:r>
    </w:p>
    <w:p>
      <w:pPr>
        <w:spacing w:after="150" w:before="0"/>
        <w:jc w:val="both"/>
      </w:pPr>
      <w:r>
        <w:rPr>
          <w:rFonts w:ascii="Calibri" w:cs="Calibri" w:eastAsia="Calibri" w:hAnsi="Calibri"/>
          <w:color w:val="333333"/>
          <w:sz w:val="22"/>
          <w:szCs w:val="22"/>
        </w:rPr>
        <w:t xml:space="preserve">Stock compensation expense shall be recognized on a straight-line basis over the requisite service period (typically the vesting period). For awards with graded vesting, [Company Name] shall use [straight-line / accelerated attribution] method. Forfeitures shall be estimated at the grant date and trued up as actual forfeitures occur per ASC 718. Quarterly expense shall be reviewed by the Controller for reasonableness.</w:t>
      </w:r>
    </w:p>
    <w:p>
      <w:pPr>
        <w:pStyle w:val="Heading3"/>
        <w:spacing w:after="100" w:before="200"/>
      </w:pPr>
      <w:r>
        <w:rPr>
          <w:rFonts w:ascii="Georgia" w:cs="Georgia" w:eastAsia="Georgia" w:hAnsi="Georgia"/>
          <w:b/>
          <w:bCs/>
          <w:color w:val="444444"/>
          <w:sz w:val="22"/>
          <w:szCs w:val="22"/>
        </w:rPr>
        <w:t xml:space="preserve">5.2.3 Performance Awards</w:t>
      </w:r>
    </w:p>
    <w:p>
      <w:pPr>
        <w:spacing w:after="150" w:before="0"/>
        <w:jc w:val="both"/>
      </w:pPr>
      <w:r>
        <w:rPr>
          <w:rFonts w:ascii="Calibri" w:cs="Calibri" w:eastAsia="Calibri" w:hAnsi="Calibri"/>
          <w:color w:val="333333"/>
          <w:sz w:val="22"/>
          <w:szCs w:val="22"/>
        </w:rPr>
        <w:t xml:space="preserve">PSU expense recognition depends on the type of performance condition: performance conditions (financial metrics) — expense recognized when achievement is probable, adjusted quarterly; market conditions (stock price) — expense recognized regardless of outcome, fair value determined using Monte Carlo simulation at grant date.</w:t>
      </w:r>
    </w:p>
    <w:p>
      <w:pPr>
        <w:pStyle w:val="Heading2"/>
        <w:spacing w:after="150" w:before="300"/>
      </w:pPr>
      <w:r>
        <w:rPr>
          <w:rFonts w:ascii="Georgia" w:cs="Georgia" w:eastAsia="Georgia" w:hAnsi="Georgia"/>
          <w:b/>
          <w:bCs/>
          <w:color w:val="333333"/>
          <w:sz w:val="26"/>
          <w:szCs w:val="26"/>
        </w:rPr>
        <w:t xml:space="preserve">5.3 Exercise and Settlement</w:t>
      </w:r>
    </w:p>
    <w:p>
      <w:pPr>
        <w:pStyle w:val="Heading3"/>
        <w:spacing w:after="100" w:before="200"/>
      </w:pPr>
      <w:r>
        <w:rPr>
          <w:rFonts w:ascii="Georgia" w:cs="Georgia" w:eastAsia="Georgia" w:hAnsi="Georgia"/>
          <w:b/>
          <w:bCs/>
          <w:color w:val="444444"/>
          <w:sz w:val="22"/>
          <w:szCs w:val="22"/>
        </w:rPr>
        <w:t xml:space="preserve">5.3.1 Stock Option Exercise</w:t>
      </w:r>
    </w:p>
    <w:p>
      <w:pPr>
        <w:spacing w:after="150" w:before="0"/>
        <w:jc w:val="both"/>
      </w:pPr>
      <w:r>
        <w:rPr>
          <w:rFonts w:ascii="Calibri" w:cs="Calibri" w:eastAsia="Calibri" w:hAnsi="Calibri"/>
          <w:color w:val="333333"/>
          <w:sz w:val="22"/>
          <w:szCs w:val="22"/>
        </w:rPr>
        <w:t xml:space="preserve">Employees may exercise vested options through: cash exercise (employee pays exercise price), cashless exercise (broker sells sufficient shares to cover exercise price and taxes), or net exercise (company withholds shares equal to exercise price and taxes). The Equity Plan Administrator shall process exercises within [2] business days and coordinate with the transfer agent for share delivery.</w:t>
      </w:r>
    </w:p>
    <w:p>
      <w:pPr>
        <w:pStyle w:val="Heading3"/>
        <w:spacing w:after="100" w:before="200"/>
      </w:pPr>
      <w:r>
        <w:rPr>
          <w:rFonts w:ascii="Georgia" w:cs="Georgia" w:eastAsia="Georgia" w:hAnsi="Georgia"/>
          <w:b/>
          <w:bCs/>
          <w:color w:val="444444"/>
          <w:sz w:val="22"/>
          <w:szCs w:val="22"/>
        </w:rPr>
        <w:t xml:space="preserve">5.3.2 RSU Settlement</w:t>
      </w:r>
    </w:p>
    <w:p>
      <w:pPr>
        <w:spacing w:after="150" w:before="0"/>
        <w:jc w:val="both"/>
      </w:pPr>
      <w:r>
        <w:rPr>
          <w:rFonts w:ascii="Calibri" w:cs="Calibri" w:eastAsia="Calibri" w:hAnsi="Calibri"/>
          <w:color w:val="333333"/>
          <w:sz w:val="22"/>
          <w:szCs w:val="22"/>
        </w:rPr>
        <w:t xml:space="preserve">RSUs shall be settled in shares upon vesting, net of tax withholding. Tax withholding shall be satisfied through share withholding at the minimum statutory rate (or supplemental rate) unless the employee elects a higher rate. Settlement shall occur within [2] business days of the vesting date.</w:t>
      </w:r>
    </w:p>
    <w:p>
      <w:pPr>
        <w:pStyle w:val="Heading3"/>
        <w:spacing w:after="100" w:before="200"/>
      </w:pPr>
      <w:r>
        <w:rPr>
          <w:rFonts w:ascii="Georgia" w:cs="Georgia" w:eastAsia="Georgia" w:hAnsi="Georgia"/>
          <w:b/>
          <w:bCs/>
          <w:color w:val="444444"/>
          <w:sz w:val="22"/>
          <w:szCs w:val="22"/>
        </w:rPr>
        <w:t xml:space="preserve">5.3.3 Tax Withholding</w:t>
      </w:r>
    </w:p>
    <w:p>
      <w:pPr>
        <w:spacing w:after="150" w:before="0"/>
        <w:jc w:val="both"/>
      </w:pPr>
      <w:r>
        <w:rPr>
          <w:rFonts w:ascii="Calibri" w:cs="Calibri" w:eastAsia="Calibri" w:hAnsi="Calibri"/>
          <w:color w:val="333333"/>
          <w:sz w:val="22"/>
          <w:szCs w:val="22"/>
        </w:rPr>
        <w:t xml:space="preserve">All equity compensation events (option exercise, RSU vesting, ESPP purchase) are taxable and require payroll tax withholding. Federal supplemental withholding applies at [22% / 37% for amounts exceeding $1M]. State withholding varies by jurisdiction. FICA (Social Security and Medicare) applies to equity compensation income.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Individual grant (within guidelines)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Per grant matrix</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(delegated)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Individual grant (above guidelines)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Any amount above matrix</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Compensation 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Executive officer grant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Compensation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Equity plan pool increase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 shareholders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Acceleration of vesting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Compensation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Repricing of options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Compensation Committee + shareholders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Change of control provisions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409A valuation engagement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Vesting Acceleration</w:t>
      </w:r>
    </w:p>
    <w:p>
      <w:pPr>
        <w:spacing w:after="150" w:before="0"/>
        <w:jc w:val="both"/>
      </w:pPr>
      <w:r>
        <w:rPr>
          <w:rFonts w:ascii="Calibri" w:cs="Calibri" w:eastAsia="Calibri" w:hAnsi="Calibri"/>
          <w:color w:val="333333"/>
          <w:sz w:val="22"/>
          <w:szCs w:val="22"/>
        </w:rPr>
        <w:t xml:space="preserve">Acceleration of vesting outside of plan provisions (e.g., change of control, death, disability, or special circumstances) requires Compensation Committee approval. The ASC 718 expense impact of acceleration shall be quantified by the Controller before approval.</w:t>
      </w:r>
    </w:p>
    <w:p>
      <w:pPr>
        <w:pStyle w:val="Heading2"/>
        <w:spacing w:after="150" w:before="300"/>
      </w:pPr>
      <w:r>
        <w:rPr>
          <w:rFonts w:ascii="Georgia" w:cs="Georgia" w:eastAsia="Georgia" w:hAnsi="Georgia"/>
          <w:b/>
          <w:bCs/>
          <w:color w:val="333333"/>
          <w:sz w:val="26"/>
          <w:szCs w:val="26"/>
        </w:rPr>
        <w:t xml:space="preserve">7.2 Late Section 16 Filings</w:t>
      </w:r>
    </w:p>
    <w:p>
      <w:pPr>
        <w:spacing w:after="150" w:before="0"/>
        <w:jc w:val="both"/>
      </w:pPr>
      <w:r>
        <w:rPr>
          <w:rFonts w:ascii="Calibri" w:cs="Calibri" w:eastAsia="Calibri" w:hAnsi="Calibri"/>
          <w:color w:val="333333"/>
          <w:sz w:val="22"/>
          <w:szCs w:val="22"/>
        </w:rPr>
        <w:t xml:space="preserve">Form 4 filings must be made within two business days of a reportable transaction. Late filings are disclosed in the annual proxy statement. The General Counsel shall maintain a process to ensure timely filing, including pre-clearance procedures and automated filing through the equity administration platform.</w:t>
      </w:r>
    </w:p>
    <w:p>
      <w:pPr>
        <w:pStyle w:val="Heading2"/>
        <w:spacing w:after="150" w:before="300"/>
      </w:pPr>
      <w:r>
        <w:rPr>
          <w:rFonts w:ascii="Georgia" w:cs="Georgia" w:eastAsia="Georgia" w:hAnsi="Georgia"/>
          <w:b/>
          <w:bCs/>
          <w:color w:val="333333"/>
          <w:sz w:val="26"/>
          <w:szCs w:val="26"/>
        </w:rPr>
        <w:t xml:space="preserve">7.3 Escalation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Equity Plan Administrator — routine grants, exercises, settlements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Legal — insider trading questions, Section 16 filing, compliance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 material expense impact, 409A valuation, disclosure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Compensation Committee — executive grants, plan changes, acceleration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Per-grant verification of exercise price vs. FMV (Section 409A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stock compensation expense reconciliation to equity administration system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forfeiture rate assumptions vs. actual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equity plan share pool utilization and burn rate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equity footnote disclosures by Controller and external auditors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Ongoing Section 16 filing timeliness monitoring</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Grant processing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Section 16 filing timeliness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within 2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Exercise/settlement processing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[2]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ASC 718 expense accuracy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restatements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Equity plan overhang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[X%] of diluted shares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burn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[X%] of diluted shares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718, Compensation — Stock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Section 409A (Deferred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Section 422 (Incentive Stock Options)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Regulation S-K, Item 402 (Executive Compensation Disclosure)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Section 16 Rules (Forms 3, 4, 5)</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Grant Agreement Template</w:t>
      </w:r>
    </w:p>
    <w:p>
      <w:pPr>
        <w:spacing w:after="150" w:before="0"/>
        <w:jc w:val="both"/>
      </w:pPr>
      <w:r>
        <w:rPr>
          <w:rFonts w:ascii="Calibri" w:cs="Calibri" w:eastAsia="Calibri" w:hAnsi="Calibri"/>
          <w:color w:val="333333"/>
          <w:sz w:val="22"/>
          <w:szCs w:val="22"/>
        </w:rPr>
        <w:t xml:space="preserve">The standard grant agreement shall include: grant date, number of shares, exercise price (for options), vesting schedule, expiration date, termination provisions, change-of-control provisions, and restrictive covenants (if applicable). Separate templates are maintained for ISOs, NSOs, RSUs, and PSUs.</w:t>
      </w:r>
    </w:p>
    <w:p>
      <w:pPr>
        <w:pStyle w:val="Heading2"/>
        <w:spacing w:after="150" w:before="300"/>
      </w:pPr>
      <w:r>
        <w:rPr>
          <w:rFonts w:ascii="Georgia" w:cs="Georgia" w:eastAsia="Georgia" w:hAnsi="Georgia"/>
          <w:b/>
          <w:bCs/>
          <w:color w:val="333333"/>
          <w:sz w:val="26"/>
          <w:szCs w:val="26"/>
        </w:rPr>
        <w:t xml:space="preserve">Appendix B — Black-Scholes Assumption Documentation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Assumption</w:t>
            </w:r>
          </w:p>
        </w:tc>
        <w:tc>
          <w:tcPr>
            <w:tcW w:type="dxa" w:w="6160"/>
            <w:shd w:fill="0C0C0C" w:val="clear"/>
          </w:tcPr>
          <w:p>
            <w:pPr>
              <w:spacing w:after="60" w:before="60"/>
            </w:pPr>
            <w:r>
              <w:rPr>
                <w:rFonts w:ascii="Calibri" w:cs="Calibri" w:eastAsia="Calibri" w:hAnsi="Calibri"/>
                <w:b/>
                <w:bCs/>
                <w:color w:val="D4AF37"/>
                <w:sz w:val="20"/>
                <w:szCs w:val="20"/>
              </w:rPr>
              <w:t xml:space="preserve">Source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Expected Term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Simplified method or historical exercise behavior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Expected Volatility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Historical stock price volatility over the expected term (peer group for pre-IPO)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Risk-Free Interest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US Treasury yield for the expected term as of the grant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Expected Dividend Yield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Current annualized dividend divided by stock price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Fair Value per Share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Closing stock price on grant date (public) or 409A valuation (private)</w:t>
            </w:r>
          </w:p>
        </w:tc>
      </w:tr>
    </w:tbl>
    <w:p>
      <w:pPr>
        <w:pStyle w:val="Heading2"/>
        <w:spacing w:after="150" w:before="300"/>
      </w:pPr>
      <w:r>
        <w:rPr>
          <w:rFonts w:ascii="Georgia" w:cs="Georgia" w:eastAsia="Georgia" w:hAnsi="Georgia"/>
          <w:b/>
          <w:bCs/>
          <w:color w:val="333333"/>
          <w:sz w:val="26"/>
          <w:szCs w:val="26"/>
        </w:rPr>
        <w:t xml:space="preserve">Appendix C — Equity Event Tax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Event</w:t>
            </w:r>
          </w:p>
        </w:tc>
        <w:tc>
          <w:tcPr>
            <w:tcW w:type="dxa" w:w="2400"/>
            <w:shd w:fill="0C0C0C" w:val="clear"/>
          </w:tcPr>
          <w:p>
            <w:pPr>
              <w:spacing w:after="60" w:before="60"/>
            </w:pPr>
            <w:r>
              <w:rPr>
                <w:rFonts w:ascii="Calibri" w:cs="Calibri" w:eastAsia="Calibri" w:hAnsi="Calibri"/>
                <w:b/>
                <w:bCs/>
                <w:color w:val="D4AF37"/>
                <w:sz w:val="20"/>
                <w:szCs w:val="20"/>
              </w:rPr>
              <w:t xml:space="preserve">Income Type</w:t>
            </w:r>
          </w:p>
        </w:tc>
        <w:tc>
          <w:tcPr>
            <w:tcW w:type="dxa" w:w="4560"/>
            <w:shd w:fill="0C0C0C" w:val="clear"/>
          </w:tcPr>
          <w:p>
            <w:pPr>
              <w:spacing w:after="60" w:before="60"/>
            </w:pPr>
            <w:r>
              <w:rPr>
                <w:rFonts w:ascii="Calibri" w:cs="Calibri" w:eastAsia="Calibri" w:hAnsi="Calibri"/>
                <w:b/>
                <w:bCs/>
                <w:color w:val="D4AF37"/>
                <w:sz w:val="20"/>
                <w:szCs w:val="20"/>
              </w:rPr>
              <w:t xml:space="preserve">Withholding Required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NSO exercise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Ordinary income (spread)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Yes — federal, state, FICA</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ISO exercise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No regular income (AMT may apply)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No (but AMT adjustment)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ISO qualifying disposition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LTCG on sale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No withholding</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ISO disqualifying disposition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Ordinary income (spread at exercise)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Yes — on ordinary portion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RSU vesting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Ordinary income (FMV at vesting)</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Yes — federal, state, FICA</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ESPP purchase (qualifying)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Ordinary + LTCG at sale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At sale, not at purchase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ESPP Administration</w:t>
      </w:r>
    </w:p>
    <w:p>
      <w:pPr>
        <w:pStyle w:val="Heading2"/>
        <w:spacing w:after="150" w:before="300"/>
      </w:pPr>
      <w:r>
        <w:rPr>
          <w:rFonts w:ascii="Georgia" w:cs="Georgia" w:eastAsia="Georgia" w:hAnsi="Georgia"/>
          <w:b/>
          <w:bCs/>
          <w:color w:val="333333"/>
          <w:sz w:val="26"/>
          <w:szCs w:val="26"/>
        </w:rPr>
        <w:t xml:space="preserve">11.1 Plan Overview</w:t>
      </w:r>
    </w:p>
    <w:p>
      <w:pPr>
        <w:spacing w:after="150" w:before="0"/>
        <w:jc w:val="both"/>
      </w:pPr>
      <w:r>
        <w:rPr>
          <w:rFonts w:ascii="Calibri" w:cs="Calibri" w:eastAsia="Calibri" w:hAnsi="Calibri"/>
          <w:color w:val="333333"/>
          <w:sz w:val="22"/>
          <w:szCs w:val="22"/>
        </w:rPr>
        <w:t xml:space="preserve">[Company Name]'s Employee Stock Purchase Plan (ESPP) allows eligible employees to purchase company stock at a discount through payroll deductions. The plan is intended to qualify under IRC Section 423, providing favorable tax treatment for participating employees.</w:t>
      </w:r>
    </w:p>
    <w:p>
      <w:pPr>
        <w:pStyle w:val="Heading2"/>
        <w:spacing w:after="150" w:before="300"/>
      </w:pPr>
      <w:r>
        <w:rPr>
          <w:rFonts w:ascii="Georgia" w:cs="Georgia" w:eastAsia="Georgia" w:hAnsi="Georgia"/>
          <w:b/>
          <w:bCs/>
          <w:color w:val="333333"/>
          <w:sz w:val="26"/>
          <w:szCs w:val="26"/>
        </w:rPr>
        <w:t xml:space="preserve">11.2 Enrollment and Contribution</w:t>
      </w:r>
    </w:p>
    <w:p>
      <w:pPr>
        <w:spacing w:after="150" w:before="0"/>
        <w:jc w:val="both"/>
      </w:pPr>
      <w:r>
        <w:rPr>
          <w:rFonts w:ascii="Calibri" w:cs="Calibri" w:eastAsia="Calibri" w:hAnsi="Calibri"/>
          <w:color w:val="333333"/>
          <w:sz w:val="22"/>
          <w:szCs w:val="22"/>
        </w:rPr>
        <w:t xml:space="preserve">Eligible employees may enroll during designated enrollment windows. Payroll deductions shall be: set as a percentage of eligible compensation (up to the plan maximum), accumulated during the offering period, and used to purchase shares on the purchase date at the plan discount (typically 15% discount from the lower of the offering date or purchase date FMV). The IRC Section 423 annual purchase limit of $25,000 (based on FMV at offering date) shall be monitored by the Equity Plan Administrator.</w:t>
      </w:r>
    </w:p>
    <w:p>
      <w:pPr>
        <w:pStyle w:val="Heading2"/>
        <w:spacing w:after="150" w:before="300"/>
      </w:pPr>
      <w:r>
        <w:rPr>
          <w:rFonts w:ascii="Georgia" w:cs="Georgia" w:eastAsia="Georgia" w:hAnsi="Georgia"/>
          <w:b/>
          <w:bCs/>
          <w:color w:val="333333"/>
          <w:sz w:val="26"/>
          <w:szCs w:val="26"/>
        </w:rPr>
        <w:t xml:space="preserve">11.3 ASC 718 Accounting for ESPP</w:t>
      </w:r>
    </w:p>
    <w:p>
      <w:pPr>
        <w:spacing w:after="150" w:before="0"/>
        <w:jc w:val="both"/>
      </w:pPr>
      <w:r>
        <w:rPr>
          <w:rFonts w:ascii="Calibri" w:cs="Calibri" w:eastAsia="Calibri" w:hAnsi="Calibri"/>
          <w:color w:val="333333"/>
          <w:sz w:val="22"/>
          <w:szCs w:val="22"/>
        </w:rPr>
        <w:t xml:space="preserve">The ESPP compensation cost is measured at the grant date (offering date) using a Black-Scholes model that incorporates the discount and look-back features. The expense is recognized over the offering period. For plans with a look-back feature and discount greater than 5%, the plan is compensatory and expense recognition is required.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Change-of-Control Provisions</w:t>
      </w:r>
    </w:p>
    <w:p>
      <w:pPr>
        <w:pStyle w:val="Heading2"/>
        <w:spacing w:after="150" w:before="300"/>
      </w:pPr>
      <w:r>
        <w:rPr>
          <w:rFonts w:ascii="Georgia" w:cs="Georgia" w:eastAsia="Georgia" w:hAnsi="Georgia"/>
          <w:b/>
          <w:bCs/>
          <w:color w:val="333333"/>
          <w:sz w:val="26"/>
          <w:szCs w:val="26"/>
        </w:rPr>
        <w:t xml:space="preserve">12.1 Standard CIC Treatment</w:t>
      </w:r>
    </w:p>
    <w:p>
      <w:pPr>
        <w:spacing w:after="150" w:before="0"/>
        <w:jc w:val="both"/>
      </w:pPr>
      <w:r>
        <w:rPr>
          <w:rFonts w:ascii="Calibri" w:cs="Calibri" w:eastAsia="Calibri" w:hAnsi="Calibri"/>
          <w:color w:val="333333"/>
          <w:sz w:val="22"/>
          <w:szCs w:val="22"/>
        </w:rPr>
        <w:t xml:space="preserve">[Company Name]'s equity plan provides the following standard treatment upon a change of control: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If awards are assumed or substituted by the acquirer: vesting continues per the original schedule (single-trigger acceleration does not apply)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If awards are NOT assumed or substituted: full acceleration of vesting immediately prior to the change of control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Double-trigger acceleration: if the employee is terminated without cause or resigns for good reason within [12] months of a CIC, all outstanding assumed/substituted awards fully accelerate</w:t>
      </w:r>
    </w:p>
    <w:p>
      <w:pPr>
        <w:pStyle w:val="Heading2"/>
        <w:spacing w:after="150" w:before="300"/>
      </w:pPr>
      <w:r>
        <w:rPr>
          <w:rFonts w:ascii="Georgia" w:cs="Georgia" w:eastAsia="Georgia" w:hAnsi="Georgia"/>
          <w:b/>
          <w:bCs/>
          <w:color w:val="333333"/>
          <w:sz w:val="26"/>
          <w:szCs w:val="26"/>
        </w:rPr>
        <w:t xml:space="preserve">12.2 CIC Accounting Impact</w:t>
      </w:r>
    </w:p>
    <w:p>
      <w:pPr>
        <w:spacing w:after="150" w:before="0"/>
        <w:jc w:val="both"/>
      </w:pPr>
      <w:r>
        <w:rPr>
          <w:rFonts w:ascii="Calibri" w:cs="Calibri" w:eastAsia="Calibri" w:hAnsi="Calibri"/>
          <w:color w:val="333333"/>
          <w:sz w:val="22"/>
          <w:szCs w:val="22"/>
        </w:rPr>
        <w:t xml:space="preserve">The Controller shall assess the ASC 718 expense impact of change-of-control provisions when a CIC becomes probable. Modification accounting may apply if CIC provisions change the terms of outstanding awards. The expense acceleration and any incremental fair value shall be quantified and disclosed.</w:t>
      </w:r>
    </w:p>
    <w:p>
      <w:pPr>
        <w:pStyle w:val="Heading2"/>
        <w:spacing w:after="150" w:before="300"/>
      </w:pPr>
      <w:r>
        <w:rPr>
          <w:rFonts w:ascii="Georgia" w:cs="Georgia" w:eastAsia="Georgia" w:hAnsi="Georgia"/>
          <w:b/>
          <w:bCs/>
          <w:color w:val="333333"/>
          <w:sz w:val="26"/>
          <w:szCs w:val="26"/>
        </w:rPr>
        <w:t xml:space="preserve">12.3 Section 280G Analysis</w:t>
      </w:r>
    </w:p>
    <w:p>
      <w:pPr>
        <w:spacing w:after="150" w:before="0"/>
        <w:jc w:val="both"/>
      </w:pPr>
      <w:r>
        <w:rPr>
          <w:rFonts w:ascii="Calibri" w:cs="Calibri" w:eastAsia="Calibri" w:hAnsi="Calibri"/>
          <w:color w:val="333333"/>
          <w:sz w:val="22"/>
          <w:szCs w:val="22"/>
        </w:rPr>
        <w:t xml:space="preserve">For named executive officers and other disqualified individuals, the CFO shall coordinate a Section 280G analysis before any change-of-control transaction closes. If total parachute payments (including equity acceleration) exceed 3x the individual's base amount, the excess payments are subject to a 20% excise tax (Section 4999) and are non-deductible by the company (Section 280G). The analysis shall determine whether a cutback, gross-up, or best-net approach applies per the executive's employment agreement.</w:t>
      </w:r>
    </w:p>
    <w:p>
      <w:pPr>
        <w:pStyle w:val="Heading2"/>
        <w:spacing w:after="150" w:before="300"/>
      </w:pPr>
      <w:r>
        <w:rPr>
          <w:rFonts w:ascii="Georgia" w:cs="Georgia" w:eastAsia="Georgia" w:hAnsi="Georgia"/>
          <w:b/>
          <w:bCs/>
          <w:color w:val="333333"/>
          <w:sz w:val="26"/>
          <w:szCs w:val="26"/>
        </w:rPr>
        <w:t xml:space="preserve">12.4 Private Company Considerations</w:t>
      </w:r>
    </w:p>
    <w:p>
      <w:pPr>
        <w:spacing w:after="150" w:before="0"/>
        <w:jc w:val="both"/>
      </w:pPr>
      <w:r>
        <w:rPr>
          <w:rFonts w:ascii="Calibri" w:cs="Calibri" w:eastAsia="Calibri" w:hAnsi="Calibri"/>
          <w:color w:val="333333"/>
          <w:sz w:val="22"/>
          <w:szCs w:val="22"/>
        </w:rPr>
        <w:t xml:space="preserve">For private companies, additional equity administration considerations include: 409A valuation requirements for option pricing, Rule 701 limitations on aggregate equity awards, absence of a liquid market requiring company-facilitated liquidity events, and tender offer compliance for share repurchases. These considerations shall be managed by Legal and the CFO.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Equity Compensation Administration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2026-07-13T07:17:04.565Z</dcterms:created>
  <dcterms:modified xsi:type="dcterms:W3CDTF">2026-07-13T07:17:04.565Z</dcterms:modified>
</cp:coreProperties>
</file>

<file path=docProps/custom.xml><?xml version="1.0" encoding="utf-8"?>
<Properties xmlns="http://schemas.openxmlformats.org/officeDocument/2006/custom-properties" xmlns:vt="http://schemas.openxmlformats.org/officeDocument/2006/docPropsVTypes"/>
</file>