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Inventory Management &amp; Valuation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Inventory Management and Valuation Policy establishes the standards, procedures, and controls governing how [Company Name] manages, values, and reports inventory. The policy ensures compliance with ASC 330 (Inventory), provides a consistent framework for cost determination and valuation, and establishes controls to safeguard inventory assets and maintain accurate inventory records.</w:t>
      </w:r>
    </w:p>
    <w:p>
      <w:pPr>
        <w:spacing w:after="150" w:before="0"/>
        <w:jc w:val="both"/>
      </w:pPr>
      <w:r>
        <w:rPr>
          <w:rFonts w:ascii="Calibri" w:cs="Calibri" w:eastAsia="Calibri" w:hAnsi="Calibri"/>
          <w:color w:val="333333"/>
          <w:sz w:val="22"/>
          <w:szCs w:val="22"/>
        </w:rPr>
        <w:t xml:space="preserve">This policy applies to all inventory held for sale in the ordinary course of business, inventory in the process of production (work-in-progress), and materials or supplies consumed in the production process or rendering of services.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accurate perpetual inventory records reconciled to physical counts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Apply consistent costing methodology in compliance with US GAAP (ASC 330)</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Value inventory at the lower of cost and net realizable value (LCNRV)</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adequate reserves for obsolete, excess, and slow-moving inventory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Safeguard inventory through physical controls, cycle counting, and segregation of duties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Support supply chain optimization through accurate inventory data</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Raw Materials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Goods purchased for use in the manufacturing process that have not yet entered production.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Work-in-Progress (WIP)</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Inventory that has entered the production process but is not yet a finished good.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Finished Goods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Completed products ready for sale.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Net Realizable Value (NRV)</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Estimated selling price in the ordinary course of business, less reasonably predictable costs of completion, disposal, and transportation.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Standard Cost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predetermined cost assigned to a unit of production, used for planning and control, adjusted periodically to approximate actual costs.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Purchase Price Variance (PPV)</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difference between the standard cost and actual purchase price of raw materials.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Cycle Count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partial physical inventory counting process where a subset of inventory is counted on a rotating basis.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Obsolescence Reserve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allowance established for inventory that is expected to be unsalable or sold below cost.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Consignment Inventory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Inventory held at a customer location but owned by [Company Name] until sold by the customer.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FIFO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First-In, First-Out costing method where the oldest inventory costs are recognized first.</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Costing Method</w:t>
      </w:r>
    </w:p>
    <w:p>
      <w:pPr>
        <w:spacing w:after="150" w:before="0"/>
        <w:jc w:val="both"/>
      </w:pPr>
      <w:r>
        <w:rPr>
          <w:rFonts w:ascii="Calibri" w:cs="Calibri" w:eastAsia="Calibri" w:hAnsi="Calibri"/>
          <w:color w:val="333333"/>
          <w:sz w:val="22"/>
          <w:szCs w:val="22"/>
        </w:rPr>
        <w:t xml:space="preserve">[Company Name] shall value inventory using the [FIFO / weighted average / standard cost] method, applied consistently across all inventory categories and locations. Standard cost systems shall be updated [annually / semi-annually] to approximate actual costs. Variances between standard and actual costs shall be analyzed monthly and allocated to cost of goods sold and ending inventory based on relative balances.</w:t>
      </w:r>
    </w:p>
    <w:p>
      <w:pPr>
        <w:pStyle w:val="Heading2"/>
        <w:spacing w:after="150" w:before="300"/>
      </w:pPr>
      <w:r>
        <w:rPr>
          <w:rFonts w:ascii="Georgia" w:cs="Georgia" w:eastAsia="Georgia" w:hAnsi="Georgia"/>
          <w:b/>
          <w:bCs/>
          <w:color w:val="333333"/>
          <w:sz w:val="26"/>
          <w:szCs w:val="26"/>
        </w:rPr>
        <w:t xml:space="preserve">3.2 Lower of Cost and Net Realizable Value</w:t>
      </w:r>
    </w:p>
    <w:p>
      <w:pPr>
        <w:spacing w:after="150" w:before="0"/>
        <w:jc w:val="both"/>
      </w:pPr>
      <w:r>
        <w:rPr>
          <w:rFonts w:ascii="Calibri" w:cs="Calibri" w:eastAsia="Calibri" w:hAnsi="Calibri"/>
          <w:color w:val="333333"/>
          <w:sz w:val="22"/>
          <w:szCs w:val="22"/>
        </w:rPr>
        <w:t xml:space="preserve">Inventory shall be reported at the lower of cost and net realizable value (LCNRV) per ASC 330. The NRV assessment shall be performed at least quarterly by inventory category. When NRV falls below cost, inventory shall be written down to NRV with the loss recognized in cost of goods sold. Previous write-downs shall not be reversed.</w:t>
      </w:r>
    </w:p>
    <w:p>
      <w:pPr>
        <w:pStyle w:val="Heading2"/>
        <w:spacing w:after="150" w:before="300"/>
      </w:pPr>
      <w:r>
        <w:rPr>
          <w:rFonts w:ascii="Georgia" w:cs="Georgia" w:eastAsia="Georgia" w:hAnsi="Georgia"/>
          <w:b/>
          <w:bCs/>
          <w:color w:val="333333"/>
          <w:sz w:val="26"/>
          <w:szCs w:val="26"/>
        </w:rPr>
        <w:t xml:space="preserve">3.3 Obsolescence and Excess Reserves</w:t>
      </w:r>
    </w:p>
    <w:p>
      <w:pPr>
        <w:spacing w:after="150" w:before="0"/>
        <w:jc w:val="both"/>
      </w:pPr>
      <w:r>
        <w:rPr>
          <w:rFonts w:ascii="Calibri" w:cs="Calibri" w:eastAsia="Calibri" w:hAnsi="Calibri"/>
          <w:color w:val="333333"/>
          <w:sz w:val="22"/>
          <w:szCs w:val="22"/>
        </w:rPr>
        <w:t xml:space="preserve">[Company Name] shall maintain reserves for obsolete, excess, and slow-moving inventory. The reserve methodology shall be applied consistently and documented quarterly. The standard reserve percentages by aging category are: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Aging Category</w:t>
            </w:r>
          </w:p>
        </w:tc>
        <w:tc>
          <w:tcPr>
            <w:tcW w:type="dxa" w:w="6160"/>
            <w:shd w:fill="0C0C0C" w:val="clear"/>
          </w:tcPr>
          <w:p>
            <w:pPr>
              <w:spacing w:after="60" w:before="60"/>
            </w:pPr>
            <w:r>
              <w:rPr>
                <w:rFonts w:ascii="Calibri" w:cs="Calibri" w:eastAsia="Calibri" w:hAnsi="Calibri"/>
                <w:b/>
                <w:bCs/>
                <w:color w:val="D4AF37"/>
                <w:sz w:val="20"/>
                <w:szCs w:val="20"/>
              </w:rPr>
              <w:t xml:space="preserve">Reserve %</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Current (&lt; 6 months since last sale/usage)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Slow-moving (6–12 months)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25%</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Aging (12–18 months)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50%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Obsolete (&gt; 18 months or discontinued)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bl>
    <w:p>
      <w:pPr>
        <w:pBdr>
          <w:left w:val="single" w:color="D4AF37" w:sz="8"/>
        </w:pBdr>
        <w:spacing w:after="200" w:before="100"/>
        <w:ind w:left="360"/>
      </w:pPr>
      <w:r>
        <w:rPr>
          <w:rFonts w:ascii="Calibri" w:cs="Calibri" w:eastAsia="Calibri" w:hAnsi="Calibri"/>
          <w:b/>
          <w:bCs/>
          <w:color w:val="D4AF37"/>
          <w:sz w:val="20"/>
          <w:szCs w:val="20"/>
        </w:rPr>
        <w:t xml:space="preserve">Note: </w:t>
      </w:r>
      <w:r>
        <w:rPr>
          <w:rFonts w:ascii="Calibri" w:cs="Calibri" w:eastAsia="Calibri" w:hAnsi="Calibri"/>
          <w:i/>
          <w:iCs/>
          <w:color w:val="666666"/>
          <w:sz w:val="20"/>
          <w:szCs w:val="20"/>
        </w:rPr>
        <w:t xml:space="preserve">Reserve percentages are guidelines. Category-specific adjustments may be made by the Controller based on market conditions, customer commitments, or product lifecycle analysis.</w:t>
      </w:r>
    </w:p>
    <w:p>
      <w:pPr>
        <w:pStyle w:val="Heading2"/>
        <w:spacing w:after="150" w:before="300"/>
      </w:pPr>
      <w:r>
        <w:rPr>
          <w:rFonts w:ascii="Georgia" w:cs="Georgia" w:eastAsia="Georgia" w:hAnsi="Georgia"/>
          <w:b/>
          <w:bCs/>
          <w:color w:val="333333"/>
          <w:sz w:val="26"/>
          <w:szCs w:val="26"/>
        </w:rPr>
        <w:t xml:space="preserve">3.4 Physical Inventory Controls</w:t>
      </w:r>
    </w:p>
    <w:p>
      <w:pPr>
        <w:spacing w:after="150" w:before="0"/>
        <w:jc w:val="both"/>
      </w:pPr>
      <w:r>
        <w:rPr>
          <w:rFonts w:ascii="Calibri" w:cs="Calibri" w:eastAsia="Calibri" w:hAnsi="Calibri"/>
          <w:color w:val="333333"/>
          <w:sz w:val="22"/>
          <w:szCs w:val="22"/>
        </w:rPr>
        <w:t xml:space="preserve">[Company Name] shall maintain a perpetual inventory system and conduct physical verification through either: annual wall-to-wall physical inventory count, or a cycle counting program that covers all SKUs at least once per [12] months, with A-items (top 80% of value) counted [quarterly] and B/C-items counted [semi-annually/annually].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inventory reserve methodology and material write-offs.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Owns this policy. Reviews inventory valuation quarterly. Approves reserve adjustments. Reviews count results.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Cost Accountant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Maintains standard costs. Analyzes variances. Records inventory adjustments. Prepares LCNRV analysis.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Warehouse Manager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Maintains physical inventory accuracy. Manages receiving, storage, and shipping. Coordinates cycle counts.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Supply Chain / Procurement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purchase orders, vendor relationships, and material requirements planning.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Quality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quarantine and scrap disposition. Authorizes quality-related inventory adjustments.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Observes physical inventory counts. Tests inventory controls. Reviews reserve adequacy.</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Inventory Receipt</w:t>
      </w:r>
    </w:p>
    <w:p>
      <w:pPr>
        <w:spacing w:after="150" w:before="0"/>
        <w:jc w:val="both"/>
      </w:pPr>
      <w:r>
        <w:rPr>
          <w:rFonts w:ascii="Calibri" w:cs="Calibri" w:eastAsia="Calibri" w:hAnsi="Calibri"/>
          <w:color w:val="333333"/>
          <w:sz w:val="22"/>
          <w:szCs w:val="22"/>
        </w:rPr>
        <w:t xml:space="preserve">All inventory receipts shall be: inspected for quantity and quality against the purchase order, recorded in the perpetual system on the date of receipt, quarantined if inspection reveals quality issues, and stored in designated locations with proper bin/location assignment.</w:t>
      </w:r>
    </w:p>
    <w:p>
      <w:pPr>
        <w:pStyle w:val="Heading2"/>
        <w:spacing w:after="150" w:before="300"/>
      </w:pPr>
      <w:r>
        <w:rPr>
          <w:rFonts w:ascii="Georgia" w:cs="Georgia" w:eastAsia="Georgia" w:hAnsi="Georgia"/>
          <w:b/>
          <w:bCs/>
          <w:color w:val="333333"/>
          <w:sz w:val="26"/>
          <w:szCs w:val="26"/>
        </w:rPr>
        <w:t xml:space="preserve">5.2 Inventory Issuance</w:t>
      </w:r>
    </w:p>
    <w:p>
      <w:pPr>
        <w:spacing w:after="150" w:before="0"/>
        <w:jc w:val="both"/>
      </w:pPr>
      <w:r>
        <w:rPr>
          <w:rFonts w:ascii="Calibri" w:cs="Calibri" w:eastAsia="Calibri" w:hAnsi="Calibri"/>
          <w:color w:val="333333"/>
          <w:sz w:val="22"/>
          <w:szCs w:val="22"/>
        </w:rPr>
        <w:t xml:space="preserve">All inventory issuances shall be: authorized through a production order, sales order, or transfer request, recorded in the perpetual system at the time of physical movement, supported by pick tickets or transfer documentation, and reconciled to production output or shipping records.</w:t>
      </w:r>
    </w:p>
    <w:p>
      <w:pPr>
        <w:pStyle w:val="Heading2"/>
        <w:spacing w:after="150" w:before="300"/>
      </w:pPr>
      <w:r>
        <w:rPr>
          <w:rFonts w:ascii="Georgia" w:cs="Georgia" w:eastAsia="Georgia" w:hAnsi="Georgia"/>
          <w:b/>
          <w:bCs/>
          <w:color w:val="333333"/>
          <w:sz w:val="26"/>
          <w:szCs w:val="26"/>
        </w:rPr>
        <w:t xml:space="preserve">5.3 Cycle Count Program</w:t>
      </w:r>
    </w:p>
    <w:p>
      <w:pPr>
        <w:spacing w:after="150" w:before="0"/>
        <w:jc w:val="both"/>
      </w:pPr>
      <w:r>
        <w:rPr>
          <w:rFonts w:ascii="Calibri" w:cs="Calibri" w:eastAsia="Calibri" w:hAnsi="Calibri"/>
          <w:color w:val="333333"/>
          <w:sz w:val="22"/>
          <w:szCs w:val="22"/>
        </w:rPr>
        <w:t xml:space="preserve">The cycle count program shall be designed to provide continuous inventory accuracy assurance: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A-items (top 20% of SKUs representing 80% of value): counted quarterly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B-items (next 30% of SKUs representing 15% of value): counted semi-annually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C-items (remaining 50% of SKUs representing 5% of value): counted annually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Count discrepancies exceeding [threshold] require investigation and root cause analysis before adjustment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Inventory accuracy rate target: [97%] of locations within tolerance</w:t>
      </w:r>
    </w:p>
    <w:p>
      <w:pPr>
        <w:pStyle w:val="Heading2"/>
        <w:spacing w:after="150" w:before="300"/>
      </w:pPr>
      <w:r>
        <w:rPr>
          <w:rFonts w:ascii="Georgia" w:cs="Georgia" w:eastAsia="Georgia" w:hAnsi="Georgia"/>
          <w:b/>
          <w:bCs/>
          <w:color w:val="333333"/>
          <w:sz w:val="26"/>
          <w:szCs w:val="26"/>
        </w:rPr>
        <w:t xml:space="preserve">5.4 Standard Cost Maintenance</w:t>
      </w:r>
    </w:p>
    <w:p>
      <w:pPr>
        <w:spacing w:after="150" w:before="0"/>
        <w:jc w:val="both"/>
      </w:pPr>
      <w:r>
        <w:rPr>
          <w:rFonts w:ascii="Calibri" w:cs="Calibri" w:eastAsia="Calibri" w:hAnsi="Calibri"/>
          <w:color w:val="333333"/>
          <w:sz w:val="22"/>
          <w:szCs w:val="22"/>
        </w:rPr>
        <w:t xml:space="preserve">Standard costs shall be reviewed and updated [annually] using current material prices, production rates, and overhead allocation. Mid-year standard cost changes require Controller approval and impact analysis on COGS and inventory valuation. Purchase price variances, production efficiency variances, and overhead absorption variances shall be analyzed monthly.</w:t>
      </w:r>
    </w:p>
    <w:p>
      <w:pPr>
        <w:pStyle w:val="Heading2"/>
        <w:spacing w:after="150" w:before="300"/>
      </w:pPr>
      <w:r>
        <w:rPr>
          <w:rFonts w:ascii="Georgia" w:cs="Georgia" w:eastAsia="Georgia" w:hAnsi="Georgia"/>
          <w:b/>
          <w:bCs/>
          <w:color w:val="333333"/>
          <w:sz w:val="26"/>
          <w:szCs w:val="26"/>
        </w:rPr>
        <w:t xml:space="preserve">5.5 Obsolescence Reserve Calculation</w:t>
      </w:r>
    </w:p>
    <w:p>
      <w:pPr>
        <w:spacing w:after="150" w:before="0"/>
        <w:jc w:val="both"/>
      </w:pPr>
      <w:r>
        <w:rPr>
          <w:rFonts w:ascii="Calibri" w:cs="Calibri" w:eastAsia="Calibri" w:hAnsi="Calibri"/>
          <w:color w:val="333333"/>
          <w:sz w:val="22"/>
          <w:szCs w:val="22"/>
        </w:rPr>
        <w:t xml:space="preserve">The Cost Accountant shall prepare the quarterly obsolescence reserve calculation including: inventory aging analysis by SKU, NRV assessment for slow-moving items, specific identification of discontinued or superseded products, customer return and quality rejection trends, and input from Sales and Product Management on expected demand.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Action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Inventory adjustment (cycle count)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$5,000</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Warehouse Manager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Inventory adjustment (cycle count)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$5,000 – $25,000</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Cost Accountant + 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Inventory write-off / scrap</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$10,000</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Inventory write-off / scrap</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$10,000 – $100,000</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Inventory write-off / scrap</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$100,000</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Board notification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Reserve methodology change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Standard cost update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Donation of excess inventory</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Exceptions to standard inventory procedures (e.g., waiver of three-way match, acceptance of non-conforming goods, deviation from LCNRV methodology) require Controller approval with documented rationale. Significant inventory discrepancies (&gt;$50K or systemic patterns) shall be escalated to the CFO and Internal Audit for investigation.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Daily cycle counts per the ABC frequency schedule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variance analysis (PPV, production efficiency, overhead absorption)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perpetual-to-GL reconciliation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LCNRV and obsolescence reserve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physical inventory observation by Internal Audit and/or external auditors</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Inventory accuracy rate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[97%+]</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Days Inventory Outstanding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[X] days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Obsolescence reserve as % of gross inventory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[X%]</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Inventory shrinkage rate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&lt; [0.5%]</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Standard cost variance (total)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[5%] of COGS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Procurement &amp; Purchasing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Revenue Recognition Policy (bill-and-hold, consignment)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Fixed Asset &amp; Capitalization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330, Inventory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270, Interim Reporting (LIFO liquidation in interim periods, if applicable)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LCNRV Calculation Template</w:t>
      </w:r>
    </w:p>
    <w:p>
      <w:pPr>
        <w:spacing w:after="150" w:before="0"/>
        <w:jc w:val="both"/>
      </w:pPr>
      <w:r>
        <w:rPr>
          <w:rFonts w:ascii="Calibri" w:cs="Calibri" w:eastAsia="Calibri" w:hAnsi="Calibri"/>
          <w:color w:val="333333"/>
          <w:sz w:val="22"/>
          <w:szCs w:val="22"/>
        </w:rPr>
        <w:t xml:space="preserve">For each inventory category: Cost per unit → Estimated selling price → Less: estimated costs to complete → Less: estimated selling costs → NRV per unit → Compare cost to NRV → Write down if NRV &lt; cost.</w:t>
      </w:r>
    </w:p>
    <w:p>
      <w:pPr>
        <w:pStyle w:val="Heading2"/>
        <w:spacing w:after="150" w:before="300"/>
      </w:pPr>
      <w:r>
        <w:rPr>
          <w:rFonts w:ascii="Georgia" w:cs="Georgia" w:eastAsia="Georgia" w:hAnsi="Georgia"/>
          <w:b/>
          <w:bCs/>
          <w:color w:val="333333"/>
          <w:sz w:val="26"/>
          <w:szCs w:val="26"/>
        </w:rPr>
        <w:t xml:space="preserve">Appendix B — Cycle Count Procedures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Counter counts the physical quantity without knowledge of the system quantity (blind count)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Second counter verifies for items exceeding [threshold] value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System quantity compared to physical count; variances investigated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Root cause documented for all variances exceeding tolerance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Adjustments posted after investigation and approval</w:t>
      </w:r>
    </w:p>
    <w:p>
      <w:pPr>
        <w:pStyle w:val="Heading2"/>
        <w:spacing w:after="150" w:before="300"/>
      </w:pPr>
      <w:r>
        <w:rPr>
          <w:rFonts w:ascii="Georgia" w:cs="Georgia" w:eastAsia="Georgia" w:hAnsi="Georgia"/>
          <w:b/>
          <w:bCs/>
          <w:color w:val="333333"/>
          <w:sz w:val="26"/>
          <w:szCs w:val="26"/>
        </w:rPr>
        <w:t xml:space="preserve">Appendix C — Inventory Scrap Authorization Form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SKU / Part Number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Item identification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Description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Item description and reason for scrap</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Quantity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Number of units to be scrapped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Cost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Total cost of items being scrapped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Reason Code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Obsolete / damaged / quality reject / expired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Disposition Method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Destroy / recycle / donate / sell as scrap</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Authorized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Per approval matrix above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11. Consignment and Vendor-Managed Inventory</w:t>
      </w:r>
    </w:p>
    <w:p>
      <w:pPr>
        <w:pStyle w:val="Heading2"/>
        <w:spacing w:after="150" w:before="300"/>
      </w:pPr>
      <w:r>
        <w:rPr>
          <w:rFonts w:ascii="Georgia" w:cs="Georgia" w:eastAsia="Georgia" w:hAnsi="Georgia"/>
          <w:b/>
          <w:bCs/>
          <w:color w:val="333333"/>
          <w:sz w:val="26"/>
          <w:szCs w:val="26"/>
        </w:rPr>
        <w:t xml:space="preserve">11.1 Consignment Inventory Received</w:t>
      </w:r>
    </w:p>
    <w:p>
      <w:pPr>
        <w:spacing w:after="150" w:before="0"/>
        <w:jc w:val="both"/>
      </w:pPr>
      <w:r>
        <w:rPr>
          <w:rFonts w:ascii="Calibri" w:cs="Calibri" w:eastAsia="Calibri" w:hAnsi="Calibri"/>
          <w:color w:val="333333"/>
          <w:sz w:val="22"/>
          <w:szCs w:val="22"/>
        </w:rPr>
        <w:t xml:space="preserve">When [Company Name] holds inventory on consignment from a vendor, the inventory is NOT recorded on [Company Name]'s balance sheet until title transfers (typically upon consumption or sale). Consignment inventory shall be: physically segregated or clearly identified in the warehouse, tracked in a separate inventory category in the system, reported to the vendor per the consignment agreement terms, and excluded from [Company Name]'s inventory valuation and physical counts.</w:t>
      </w:r>
    </w:p>
    <w:p>
      <w:pPr>
        <w:pStyle w:val="Heading2"/>
        <w:spacing w:after="150" w:before="300"/>
      </w:pPr>
      <w:r>
        <w:rPr>
          <w:rFonts w:ascii="Georgia" w:cs="Georgia" w:eastAsia="Georgia" w:hAnsi="Georgia"/>
          <w:b/>
          <w:bCs/>
          <w:color w:val="333333"/>
          <w:sz w:val="26"/>
          <w:szCs w:val="26"/>
        </w:rPr>
        <w:t xml:space="preserve">11.2 Consignment Inventory Provided</w:t>
      </w:r>
    </w:p>
    <w:p>
      <w:pPr>
        <w:spacing w:after="150" w:before="0"/>
        <w:jc w:val="both"/>
      </w:pPr>
      <w:r>
        <w:rPr>
          <w:rFonts w:ascii="Calibri" w:cs="Calibri" w:eastAsia="Calibri" w:hAnsi="Calibri"/>
          <w:color w:val="333333"/>
          <w:sz w:val="22"/>
          <w:szCs w:val="22"/>
        </w:rPr>
        <w:t xml:space="preserve">When [Company Name] places inventory on consignment with a customer, the inventory remains on [Company Name]'s balance sheet until the customer sells or consumes it. Consignment inventory at customer locations shall be: tracked by location and customer, verified through periodic confirmation or physical count, aged and reviewed for impairment, and recognized as revenue only upon the customer's sale or consumption.</w:t>
      </w:r>
    </w:p>
    <w:p>
      <w:pPr>
        <w:pStyle w:val="Heading2"/>
        <w:spacing w:after="150" w:before="300"/>
      </w:pPr>
      <w:r>
        <w:rPr>
          <w:rFonts w:ascii="Georgia" w:cs="Georgia" w:eastAsia="Georgia" w:hAnsi="Georgia"/>
          <w:b/>
          <w:bCs/>
          <w:color w:val="333333"/>
          <w:sz w:val="26"/>
          <w:szCs w:val="26"/>
        </w:rPr>
        <w:t xml:space="preserve">11.3 Vendor-Managed Inventory (VMI)</w:t>
      </w:r>
    </w:p>
    <w:p>
      <w:pPr>
        <w:spacing w:after="150" w:before="0"/>
        <w:jc w:val="both"/>
      </w:pPr>
      <w:r>
        <w:rPr>
          <w:rFonts w:ascii="Calibri" w:cs="Calibri" w:eastAsia="Calibri" w:hAnsi="Calibri"/>
          <w:color w:val="333333"/>
          <w:sz w:val="22"/>
          <w:szCs w:val="22"/>
        </w:rPr>
        <w:t xml:space="preserve">Under VMI arrangements, the vendor monitors and replenishes inventory at [Company Name]'s location based on agreed-upon parameters. VMI does not change the accounting treatment — ownership (and therefore balance sheet recognition) depends on the contractual terms regarding title transfer, risk of loss, and payment obligations.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12. Inventory Technology and Automation</w:t>
      </w:r>
    </w:p>
    <w:p>
      <w:pPr>
        <w:pStyle w:val="Heading2"/>
        <w:spacing w:after="150" w:before="300"/>
      </w:pPr>
      <w:r>
        <w:rPr>
          <w:rFonts w:ascii="Georgia" w:cs="Georgia" w:eastAsia="Georgia" w:hAnsi="Georgia"/>
          <w:b/>
          <w:bCs/>
          <w:color w:val="333333"/>
          <w:sz w:val="26"/>
          <w:szCs w:val="26"/>
        </w:rPr>
        <w:t xml:space="preserve">12.1 Barcode / RFID Tracking</w:t>
      </w:r>
    </w:p>
    <w:p>
      <w:pPr>
        <w:spacing w:after="150" w:before="0"/>
        <w:jc w:val="both"/>
      </w:pPr>
      <w:r>
        <w:rPr>
          <w:rFonts w:ascii="Calibri" w:cs="Calibri" w:eastAsia="Calibri" w:hAnsi="Calibri"/>
          <w:color w:val="333333"/>
          <w:sz w:val="22"/>
          <w:szCs w:val="22"/>
        </w:rPr>
        <w:t xml:space="preserve">[Company Name] shall implement barcode or RFID technology for all inventory transactions: receiving, putaway, picking, packing, shipping, and cycle counting. Automated scanning reduces data entry errors, provides real-time inventory visibility, and supports perpetual inventory accuracy. All warehouse employees shall be trained on scanning procedures and error resolution.</w:t>
      </w:r>
    </w:p>
    <w:p>
      <w:pPr>
        <w:pStyle w:val="Heading2"/>
        <w:spacing w:after="150" w:before="300"/>
      </w:pPr>
      <w:r>
        <w:rPr>
          <w:rFonts w:ascii="Georgia" w:cs="Georgia" w:eastAsia="Georgia" w:hAnsi="Georgia"/>
          <w:b/>
          <w:bCs/>
          <w:color w:val="333333"/>
          <w:sz w:val="26"/>
          <w:szCs w:val="26"/>
        </w:rPr>
        <w:t xml:space="preserve">12.2 Warehouse Management System (WMS)</w:t>
      </w:r>
    </w:p>
    <w:p>
      <w:pPr>
        <w:spacing w:after="150" w:before="0"/>
        <w:jc w:val="both"/>
      </w:pPr>
      <w:r>
        <w:rPr>
          <w:rFonts w:ascii="Calibri" w:cs="Calibri" w:eastAsia="Calibri" w:hAnsi="Calibri"/>
          <w:color w:val="333333"/>
          <w:sz w:val="22"/>
          <w:szCs w:val="22"/>
        </w:rPr>
        <w:t xml:space="preserve">The WMS shall support: directed putaway (system assigns storage locations based on product characteristics and demand frequency), wave picking optimization, FIFO enforcement through lot tracking and expiration date management, and real-time inventory visibility across all storage locations. WMS data shall be integrated with the ERP inventory module with real-time or near-real-time synchronization.</w:t>
      </w:r>
    </w:p>
    <w:p>
      <w:pPr>
        <w:pStyle w:val="Heading2"/>
        <w:spacing w:after="150" w:before="300"/>
      </w:pPr>
      <w:r>
        <w:rPr>
          <w:rFonts w:ascii="Georgia" w:cs="Georgia" w:eastAsia="Georgia" w:hAnsi="Georgia"/>
          <w:b/>
          <w:bCs/>
          <w:color w:val="333333"/>
          <w:sz w:val="26"/>
          <w:szCs w:val="26"/>
        </w:rPr>
        <w:t xml:space="preserve">12.3 Demand Forecasting Integration</w:t>
      </w:r>
    </w:p>
    <w:p>
      <w:pPr>
        <w:spacing w:after="150" w:before="0"/>
        <w:jc w:val="both"/>
      </w:pPr>
      <w:r>
        <w:rPr>
          <w:rFonts w:ascii="Calibri" w:cs="Calibri" w:eastAsia="Calibri" w:hAnsi="Calibri"/>
          <w:color w:val="333333"/>
          <w:sz w:val="22"/>
          <w:szCs w:val="22"/>
        </w:rPr>
        <w:t xml:space="preserve">Inventory levels shall be informed by demand forecasting produced by the Sales and Operations Planning (S&amp;OP) process. Key parameters include: safety stock levels by SKU (based on demand variability and lead time), reorder points and economic order quantities, seasonal demand adjustments, and new product launch inventory builds. The Cost Accountant shall review inventory levels quarterly against demand forecasts to identify excess positions.</w:t>
      </w:r>
    </w:p>
    <w:p>
      <w:pPr>
        <w:pStyle w:val="Heading2"/>
        <w:spacing w:after="150" w:before="300"/>
      </w:pPr>
      <w:r>
        <w:rPr>
          <w:rFonts w:ascii="Georgia" w:cs="Georgia" w:eastAsia="Georgia" w:hAnsi="Georgia"/>
          <w:b/>
          <w:bCs/>
          <w:color w:val="333333"/>
          <w:sz w:val="26"/>
          <w:szCs w:val="26"/>
        </w:rPr>
        <w:t xml:space="preserve">12.4 Inventory Analytics</w:t>
      </w:r>
    </w:p>
    <w:p>
      <w:pPr>
        <w:spacing w:after="150" w:before="0"/>
        <w:jc w:val="both"/>
      </w:pPr>
      <w:r>
        <w:rPr>
          <w:rFonts w:ascii="Calibri" w:cs="Calibri" w:eastAsia="Calibri" w:hAnsi="Calibri"/>
          <w:color w:val="333333"/>
          <w:sz w:val="22"/>
          <w:szCs w:val="22"/>
        </w:rPr>
        <w:t xml:space="preserve">[Company Name] shall maintain inventory analytics capabilities providing visibility into:</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ABC analysis: classify SKUs by annual usage value to focus management attention on high-value items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Inventory turns by category, location, and SKU</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Fill rate and stockout analysis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Dead stock identification (no movement in trailing 12 months)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Carrying cost analysis (storage, insurance, obsolescence, capital)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Supplier lead time variability and its impact on safety stock requirements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Inventory Management &amp; Valuation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2026-07-13T07:17:04.258Z</dcterms:created>
  <dcterms:modified xsi:type="dcterms:W3CDTF">2026-07-13T07:17:04.258Z</dcterms:modified>
</cp:coreProperties>
</file>

<file path=docProps/custom.xml><?xml version="1.0" encoding="utf-8"?>
<Properties xmlns="http://schemas.openxmlformats.org/officeDocument/2006/custom-properties" xmlns:vt="http://schemas.openxmlformats.org/officeDocument/2006/docPropsVTypes"/>
</file>