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Lease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Lease Accounting Policy establishes the standards, procedures, and controls governing how [Company Name] identifies, classifies, measures, and reports lease arrangements in accordance with ASC 842 (Leases). The policy ensures that all lease obligations are properly recorded on the balance sheet, lease expenses are accurately recognized, and lease disclosures are complete and compliant.</w:t>
      </w:r>
    </w:p>
    <w:p>
      <w:pPr>
        <w:spacing w:after="150" w:before="0"/>
        <w:jc w:val="both"/>
      </w:pPr>
      <w:r>
        <w:rPr>
          <w:rFonts w:ascii="Calibri" w:cs="Calibri" w:eastAsia="Calibri" w:hAnsi="Calibri"/>
          <w:color w:val="333333"/>
          <w:sz w:val="22"/>
          <w:szCs w:val="22"/>
        </w:rPr>
        <w:t xml:space="preserve">This policy applies to all arrangements that convey the right to control the use of an identified asset for a period of time in exchange for consideration. This includes: real estate leases (office, warehouse, retail), equipment leases, vehicle leases, embedded leases within service contracts, and subleases where [Company Name] is the sublessor.</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leases are identified and recorded in compliance with ASC 842</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Classify leases correctly as operating or finance leases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right-of-use (ROU) assets and lease liabilities on the balance sheet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complete and accurate lease disclosures in the financial statements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controls over lease origination, modification, and termination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lease vs. buy decisions through consistent analysis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contract or part of a contract that conveys the right to control the use of an identified asset for a period of time in exchange for consideration.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Right-of-Use (ROU) Asset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asset representing the lessee's right to use an underlying asset for the lease term.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obligation to make lease payments arising from a lease, measured on a discounted basis.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Operating Lease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lease classified under ASC 842 where the lessee recognizes a straight-line lease expense (single lease cost).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Finance Lease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lease classified under ASC 842 where the lessee recognizes amortization of the ROU asset and interest on the lease liability separately (front-loaded expense).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Incremental Borrowing Rate (IBR)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rate of interest [Company Name] would have to pay to borrow on a collateralized basis over a similar term and 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Term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non-cancellable period plus periods covered by extension or termination options that are reasonably certain to be exercised.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Short-Term Lease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lease with a term of 12 months or less (including reasonably certain renewal options) at commencement.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Modification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change to the terms of a lease not part of the original terms (amendment, renegotiation, or exercise of an option not previously included).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Embedded Lease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lease component within a service contract or other arrangement.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Lease Identification</w:t>
      </w:r>
    </w:p>
    <w:p>
      <w:pPr>
        <w:spacing w:after="150" w:before="0"/>
        <w:jc w:val="both"/>
      </w:pPr>
      <w:r>
        <w:rPr>
          <w:rFonts w:ascii="Calibri" w:cs="Calibri" w:eastAsia="Calibri" w:hAnsi="Calibri"/>
          <w:color w:val="333333"/>
          <w:sz w:val="22"/>
          <w:szCs w:val="22"/>
        </w:rPr>
        <w:t xml:space="preserve">All contracts shall be evaluated at inception for whether they contain a lease. A contract contains a lease if it conveys the right to control the use of an identified asset for a period of time. Control exists when [Company Name] has both: the right to obtain substantially all of the economic benefits from use of the asset, and the right to direct the use of the asset.</w:t>
      </w:r>
    </w:p>
    <w:p>
      <w:pPr>
        <w:pStyle w:val="Heading2"/>
        <w:spacing w:after="150" w:before="300"/>
      </w:pPr>
      <w:r>
        <w:rPr>
          <w:rFonts w:ascii="Georgia" w:cs="Georgia" w:eastAsia="Georgia" w:hAnsi="Georgia"/>
          <w:b/>
          <w:bCs/>
          <w:color w:val="333333"/>
          <w:sz w:val="26"/>
          <w:szCs w:val="26"/>
        </w:rPr>
        <w:t xml:space="preserve">3.2 Short-Term Lease Election</w:t>
      </w:r>
    </w:p>
    <w:p>
      <w:pPr>
        <w:spacing w:after="150" w:before="0"/>
        <w:jc w:val="both"/>
      </w:pPr>
      <w:r>
        <w:rPr>
          <w:rFonts w:ascii="Calibri" w:cs="Calibri" w:eastAsia="Calibri" w:hAnsi="Calibri"/>
          <w:color w:val="333333"/>
          <w:sz w:val="22"/>
          <w:szCs w:val="22"/>
        </w:rPr>
        <w:t xml:space="preserve">[Company Name] elects the short-term lease exemption for all asset classes. Leases with a term of 12 months or less at commencement (with no purchase option reasonably certain to be exercised) shall be accounted for using the short-term lease recognition exemption — lease payments are recognized as expense on a straight-line basis, and no ROU asset or lease liability is recorded.</w:t>
      </w:r>
    </w:p>
    <w:p>
      <w:pPr>
        <w:pStyle w:val="Heading2"/>
        <w:spacing w:after="150" w:before="300"/>
      </w:pPr>
      <w:r>
        <w:rPr>
          <w:rFonts w:ascii="Georgia" w:cs="Georgia" w:eastAsia="Georgia" w:hAnsi="Georgia"/>
          <w:b/>
          <w:bCs/>
          <w:color w:val="333333"/>
          <w:sz w:val="26"/>
          <w:szCs w:val="26"/>
        </w:rPr>
        <w:t xml:space="preserve">3.3 Lease Classification</w:t>
      </w:r>
    </w:p>
    <w:p>
      <w:pPr>
        <w:spacing w:after="150" w:before="0"/>
        <w:jc w:val="both"/>
      </w:pPr>
      <w:r>
        <w:rPr>
          <w:rFonts w:ascii="Calibri" w:cs="Calibri" w:eastAsia="Calibri" w:hAnsi="Calibri"/>
          <w:color w:val="333333"/>
          <w:sz w:val="22"/>
          <w:szCs w:val="22"/>
        </w:rPr>
        <w:t xml:space="preserve">At commencement, each lease shall be classified as either a finance lease or an operating lease. A lease is classified as a finance lease if any ONE of the following criteria is met: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lease transfers ownership of the underlying asset to the lessee by the end of the lease term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lease grants the lessee a purchase option that is reasonably certain to be exercised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lease term is for the major part (typically 75% or more) of the remaining economic life of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present value of lease payments equals or exceeds substantially all (typically 90% or more) of the fair value of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underlying asset is of a specialized nature with no alternative use to the lessor</w:t>
      </w:r>
    </w:p>
    <w:p>
      <w:pPr>
        <w:spacing w:after="150" w:before="0"/>
        <w:jc w:val="both"/>
      </w:pPr>
      <w:r>
        <w:rPr>
          <w:rFonts w:ascii="Calibri" w:cs="Calibri" w:eastAsia="Calibri" w:hAnsi="Calibri"/>
          <w:color w:val="333333"/>
          <w:sz w:val="22"/>
          <w:szCs w:val="22"/>
        </w:rPr>
        <w:t xml:space="preserve">If none of the above criteria are met, the lease is classified as an operating lease.</w:t>
      </w:r>
    </w:p>
    <w:p>
      <w:pPr>
        <w:pStyle w:val="Heading2"/>
        <w:spacing w:after="150" w:before="300"/>
      </w:pPr>
      <w:r>
        <w:rPr>
          <w:rFonts w:ascii="Georgia" w:cs="Georgia" w:eastAsia="Georgia" w:hAnsi="Georgia"/>
          <w:b/>
          <w:bCs/>
          <w:color w:val="333333"/>
          <w:sz w:val="26"/>
          <w:szCs w:val="26"/>
        </w:rPr>
        <w:t xml:space="preserve">3.4 Discount Rate</w:t>
      </w:r>
    </w:p>
    <w:p>
      <w:pPr>
        <w:spacing w:after="150" w:before="0"/>
        <w:jc w:val="both"/>
      </w:pPr>
      <w:r>
        <w:rPr>
          <w:rFonts w:ascii="Calibri" w:cs="Calibri" w:eastAsia="Calibri" w:hAnsi="Calibri"/>
          <w:color w:val="333333"/>
          <w:sz w:val="22"/>
          <w:szCs w:val="22"/>
        </w:rPr>
        <w:t xml:space="preserve">[Company Name] shall use the rate implicit in the lease when readily determinable. When the implicit rate is not readily determinable (which is typical for most lessee arrangements), [Company Name] shall use its incremental borrowing rate (IBR). The IBR shall be determined at lease commencement using: the company's credit profile, the lease term, the amount of the lease payments, and the economic environment. The IBR analysis shall be documented and maintained by Treasury.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lease commitments per the DOA. Reviews lease portfolio exposure. Approves lease vs. buy decisions exceeding [threshold].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this policy. Reviews lease classification and measurement. Approves lease accounting entries. Ensures footnote disclosure completeness.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lease accounting system and lease data. Records ROU assets and lease liabilities. Processes modifications and reassessments. Prepares lease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Real Estate / Facilities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real estate lease negotiations and renewals. Provides lease terms to Accounting for evaluation. Coordinates tenant improvements.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equipment and vehicle lease procurement. Evaluates lease vs. buy alternatives. Negotiates lease terms.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lease agreements for non-standard terms. Advises on embedded lease identification. Reviews sublease arrangements.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Determines the incremental borrowing rate. Supports lease vs. buy analysis with financing cost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Evaluates tax implications of lease structures. Advises on sale-leaseback and like-kind exchange considerations.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Lease Commencement</w:t>
      </w:r>
    </w:p>
    <w:p>
      <w:pPr>
        <w:pStyle w:val="Heading3"/>
        <w:spacing w:after="100" w:before="200"/>
      </w:pPr>
      <w:r>
        <w:rPr>
          <w:rFonts w:ascii="Georgia" w:cs="Georgia" w:eastAsia="Georgia" w:hAnsi="Georgia"/>
          <w:b/>
          <w:bCs/>
          <w:color w:val="444444"/>
          <w:sz w:val="22"/>
          <w:szCs w:val="22"/>
        </w:rPr>
        <w:t xml:space="preserve">5.1.1 Initial Measurement</w:t>
      </w:r>
    </w:p>
    <w:p>
      <w:pPr>
        <w:spacing w:after="150" w:before="0"/>
        <w:jc w:val="both"/>
      </w:pPr>
      <w:r>
        <w:rPr>
          <w:rFonts w:ascii="Calibri" w:cs="Calibri" w:eastAsia="Calibri" w:hAnsi="Calibri"/>
          <w:color w:val="333333"/>
          <w:sz w:val="22"/>
          <w:szCs w:val="22"/>
        </w:rPr>
        <w:t xml:space="preserve">At lease commencement, [Company Name] shall record: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Lease Liability = present value of remaining lease payments, discounted at the IBR (or implicit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ROU Asset = lease liability + any lease payments made at or before commencement + initial direct costs - lease incentives received</w:t>
      </w:r>
    </w:p>
    <w:p>
      <w:pPr>
        <w:pStyle w:val="Heading3"/>
        <w:spacing w:after="100" w:before="200"/>
      </w:pPr>
      <w:r>
        <w:rPr>
          <w:rFonts w:ascii="Georgia" w:cs="Georgia" w:eastAsia="Georgia" w:hAnsi="Georgia"/>
          <w:b/>
          <w:bCs/>
          <w:color w:val="444444"/>
          <w:sz w:val="22"/>
          <w:szCs w:val="22"/>
        </w:rPr>
        <w:t xml:space="preserve">5.1.2 Lease Payments Included in Measurement</w:t>
      </w:r>
    </w:p>
    <w:p>
      <w:pPr>
        <w:spacing w:after="150" w:before="0"/>
        <w:jc w:val="both"/>
      </w:pPr>
      <w:r>
        <w:rPr>
          <w:rFonts w:ascii="Calibri" w:cs="Calibri" w:eastAsia="Calibri" w:hAnsi="Calibri"/>
          <w:color w:val="333333"/>
          <w:sz w:val="22"/>
          <w:szCs w:val="22"/>
        </w:rPr>
        <w:t xml:space="preserve">The following payments shall be included in the measurement of the lease liability: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payments (including in-substance fixed payments)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Variable payments that depend on an index or rate (based on the index/rate at commencement)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Exercise price of a purchase option if reasonably certain to be exercised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Payments for penalties for terminating the lease if the lease term reflects the exercise of a termination option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Residual value guarantee amounts probable of being owed</w:t>
      </w:r>
    </w:p>
    <w:p>
      <w:pPr>
        <w:spacing w:after="150" w:before="0"/>
        <w:jc w:val="both"/>
      </w:pPr>
      <w:r>
        <w:rPr>
          <w:rFonts w:ascii="Calibri" w:cs="Calibri" w:eastAsia="Calibri" w:hAnsi="Calibri"/>
          <w:color w:val="333333"/>
          <w:sz w:val="22"/>
          <w:szCs w:val="22"/>
        </w:rPr>
        <w:t xml:space="preserve">Variable payments not included above (e.g., usage-based payments) are expensed as incurred.</w:t>
      </w:r>
    </w:p>
    <w:p>
      <w:pPr>
        <w:pStyle w:val="Heading2"/>
        <w:spacing w:after="150" w:before="300"/>
      </w:pPr>
      <w:r>
        <w:rPr>
          <w:rFonts w:ascii="Georgia" w:cs="Georgia" w:eastAsia="Georgia" w:hAnsi="Georgia"/>
          <w:b/>
          <w:bCs/>
          <w:color w:val="333333"/>
          <w:sz w:val="26"/>
          <w:szCs w:val="26"/>
        </w:rPr>
        <w:t xml:space="preserve">5.2 Subsequent Measurement</w:t>
      </w:r>
    </w:p>
    <w:p>
      <w:pPr>
        <w:pStyle w:val="Heading3"/>
        <w:spacing w:after="100" w:before="200"/>
      </w:pPr>
      <w:r>
        <w:rPr>
          <w:rFonts w:ascii="Georgia" w:cs="Georgia" w:eastAsia="Georgia" w:hAnsi="Georgia"/>
          <w:b/>
          <w:bCs/>
          <w:color w:val="444444"/>
          <w:sz w:val="22"/>
          <w:szCs w:val="22"/>
        </w:rPr>
        <w:t xml:space="preserve">5.2.1 Operating Leases</w:t>
      </w:r>
    </w:p>
    <w:p>
      <w:pPr>
        <w:spacing w:after="150" w:before="0"/>
        <w:jc w:val="both"/>
      </w:pPr>
      <w:r>
        <w:rPr>
          <w:rFonts w:ascii="Calibri" w:cs="Calibri" w:eastAsia="Calibri" w:hAnsi="Calibri"/>
          <w:color w:val="333333"/>
          <w:sz w:val="22"/>
          <w:szCs w:val="22"/>
        </w:rPr>
        <w:t xml:space="preserve">The lease liability is measured at the present value of remaining payments, reduced by payments made. The ROU asset is measured as the lease liability adjusted for prepaid/accrued rent, remaining lease incentives, and cumulative impairment. A single lease cost (straight-line expense) is recognized over the lease term.</w:t>
      </w:r>
    </w:p>
    <w:p>
      <w:pPr>
        <w:pStyle w:val="Heading3"/>
        <w:spacing w:after="100" w:before="200"/>
      </w:pPr>
      <w:r>
        <w:rPr>
          <w:rFonts w:ascii="Georgia" w:cs="Georgia" w:eastAsia="Georgia" w:hAnsi="Georgia"/>
          <w:b/>
          <w:bCs/>
          <w:color w:val="444444"/>
          <w:sz w:val="22"/>
          <w:szCs w:val="22"/>
        </w:rPr>
        <w:t xml:space="preserve">5.2.2 Finance Leases</w:t>
      </w:r>
    </w:p>
    <w:p>
      <w:pPr>
        <w:spacing w:after="150" w:before="0"/>
        <w:jc w:val="both"/>
      </w:pPr>
      <w:r>
        <w:rPr>
          <w:rFonts w:ascii="Calibri" w:cs="Calibri" w:eastAsia="Calibri" w:hAnsi="Calibri"/>
          <w:color w:val="333333"/>
          <w:sz w:val="22"/>
          <w:szCs w:val="22"/>
        </w:rPr>
        <w:t xml:space="preserve">The lease liability is reduced by payments and increased by interest accretion. The ROU asset is amortized on a straight-line basis (or another systematic basis if more representative). Interest on the lease liability and amortization of the ROU asset are recognized separately, resulting in front-loaded total expense.</w:t>
      </w:r>
    </w:p>
    <w:p>
      <w:pPr>
        <w:pStyle w:val="Heading2"/>
        <w:spacing w:after="150" w:before="300"/>
      </w:pPr>
      <w:r>
        <w:rPr>
          <w:rFonts w:ascii="Georgia" w:cs="Georgia" w:eastAsia="Georgia" w:hAnsi="Georgia"/>
          <w:b/>
          <w:bCs/>
          <w:color w:val="333333"/>
          <w:sz w:val="26"/>
          <w:szCs w:val="26"/>
        </w:rPr>
        <w:t xml:space="preserve">5.3 Lease Modifications</w:t>
      </w:r>
    </w:p>
    <w:p>
      <w:pPr>
        <w:spacing w:after="150" w:before="0"/>
        <w:jc w:val="both"/>
      </w:pPr>
      <w:r>
        <w:rPr>
          <w:rFonts w:ascii="Calibri" w:cs="Calibri" w:eastAsia="Calibri" w:hAnsi="Calibri"/>
          <w:color w:val="333333"/>
          <w:sz w:val="22"/>
          <w:szCs w:val="22"/>
        </w:rPr>
        <w:t xml:space="preserve">When a lease is modified, [Company Name] shall determine whether the modification grants an additional right of use not included in the original lease. If so, and if the consideration is commensurate, the modification is treated as a separate lease. Otherwise, the existing lease is remeasured: updated discount rate, revised lease term, updated payments, and resulting ROU asset and liability adjustment.</w:t>
      </w:r>
    </w:p>
    <w:p>
      <w:pPr>
        <w:pStyle w:val="Heading2"/>
        <w:spacing w:after="150" w:before="300"/>
      </w:pPr>
      <w:r>
        <w:rPr>
          <w:rFonts w:ascii="Georgia" w:cs="Georgia" w:eastAsia="Georgia" w:hAnsi="Georgia"/>
          <w:b/>
          <w:bCs/>
          <w:color w:val="333333"/>
          <w:sz w:val="26"/>
          <w:szCs w:val="26"/>
        </w:rPr>
        <w:t xml:space="preserve">5.4 Embedded Leases</w:t>
      </w:r>
    </w:p>
    <w:p>
      <w:pPr>
        <w:spacing w:after="150" w:before="0"/>
        <w:jc w:val="both"/>
      </w:pPr>
      <w:r>
        <w:rPr>
          <w:rFonts w:ascii="Calibri" w:cs="Calibri" w:eastAsia="Calibri" w:hAnsi="Calibri"/>
          <w:color w:val="333333"/>
          <w:sz w:val="22"/>
          <w:szCs w:val="22"/>
        </w:rPr>
        <w:t xml:space="preserve">Service contracts and other arrangements shall be evaluated for embedded leases. Key indicators of an embedded lease include: the contract identifies a specific asset, [Company Name] has the right to control the use of the asset, the supplier cannot substitute the asset without [Company Name]'s consent, and the arrangement conveys the right to substantially all economic benefits from the asset. All new contracts exceeding [threshold] shall be reviewed for embedded leases before execution.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Lease Commitment (Total Undiscounted)</w:t>
            </w:r>
          </w:p>
        </w:tc>
        <w:tc>
          <w:tcPr>
            <w:tcW w:type="dxa" w:w="2400"/>
            <w:shd w:fill="0C0C0C" w:val="clear"/>
          </w:tcPr>
          <w:p>
            <w:pPr>
              <w:spacing w:after="60" w:before="60"/>
            </w:pPr>
            <w:r>
              <w:rPr>
                <w:rFonts w:ascii="Calibri" w:cs="Calibri" w:eastAsia="Calibri" w:hAnsi="Calibri"/>
                <w:b/>
                <w:bCs/>
                <w:color w:val="D4AF37"/>
                <w:sz w:val="20"/>
                <w:szCs w:val="20"/>
              </w:rPr>
              <w:t xml:space="preserve">Approver</w:t>
            </w:r>
          </w:p>
        </w:tc>
        <w:tc>
          <w:tcPr>
            <w:tcW w:type="dxa" w:w="4560"/>
            <w:shd w:fill="0C0C0C" w:val="clear"/>
          </w:tcPr>
          <w:p>
            <w:pPr>
              <w:spacing w:after="60" w:before="60"/>
            </w:pPr>
            <w:r>
              <w:rPr>
                <w:rFonts w:ascii="Calibri" w:cs="Calibri" w:eastAsia="Calibri" w:hAnsi="Calibri"/>
                <w:b/>
                <w:bCs/>
                <w:color w:val="D4AF37"/>
                <w:sz w:val="20"/>
                <w:szCs w:val="20"/>
              </w:rPr>
              <w:t xml:space="preserve">Requirements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$100,000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Department Manager + Controller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Standard lease review</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$100,000 – $500,000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 Controller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Lease vs. buy analysis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$500,000 – $2,000,000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Full business case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&gt; $2,000,000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Board approval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presentation with portfolio impact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Any renewal or extension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Same as new lease at incremental commitment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Renewal analysis required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Classification Exceptions</w:t>
      </w:r>
    </w:p>
    <w:p>
      <w:pPr>
        <w:spacing w:after="150" w:before="0"/>
        <w:jc w:val="both"/>
      </w:pPr>
      <w:r>
        <w:rPr>
          <w:rFonts w:ascii="Calibri" w:cs="Calibri" w:eastAsia="Calibri" w:hAnsi="Calibri"/>
          <w:color w:val="333333"/>
          <w:sz w:val="22"/>
          <w:szCs w:val="22"/>
        </w:rPr>
        <w:t xml:space="preserve">Lease classification under ASC 842 is principles-based and requires judgment. When classification is not clear-cut (e.g., the lease term is near the 75% threshold or the PV of payments is near the 90% threshold), the Lease Accountant shall prepare a classification memo for Controller review. External auditor consultation is recommended for material leases where classification is borderline.</w:t>
      </w:r>
    </w:p>
    <w:p>
      <w:pPr>
        <w:pStyle w:val="Heading2"/>
        <w:spacing w:after="150" w:before="300"/>
      </w:pPr>
      <w:r>
        <w:rPr>
          <w:rFonts w:ascii="Georgia" w:cs="Georgia" w:eastAsia="Georgia" w:hAnsi="Georgia"/>
          <w:b/>
          <w:bCs/>
          <w:color w:val="333333"/>
          <w:sz w:val="26"/>
          <w:szCs w:val="26"/>
        </w:rPr>
        <w:t xml:space="preserve">7.2 IBR Exceptions</w:t>
      </w:r>
    </w:p>
    <w:p>
      <w:pPr>
        <w:spacing w:after="150" w:before="0"/>
        <w:jc w:val="both"/>
      </w:pPr>
      <w:r>
        <w:rPr>
          <w:rFonts w:ascii="Calibri" w:cs="Calibri" w:eastAsia="Calibri" w:hAnsi="Calibri"/>
          <w:color w:val="333333"/>
          <w:sz w:val="22"/>
          <w:szCs w:val="22"/>
        </w:rPr>
        <w:t xml:space="preserve">The IBR used for lease measurement shall be documented and supportable. If the standard IBR methodology produces a rate that does not reflect the specific terms of a lease (e.g., foreign currency lease, lease in a jurisdiction with different credit conditions), the Treasury team shall provide a lease-specific IBR with supporting documentation.</w:t>
      </w:r>
    </w:p>
    <w:p>
      <w:pPr>
        <w:pStyle w:val="Heading2"/>
        <w:spacing w:after="150" w:before="300"/>
      </w:pPr>
      <w:r>
        <w:rPr>
          <w:rFonts w:ascii="Georgia" w:cs="Georgia" w:eastAsia="Georgia" w:hAnsi="Georgia"/>
          <w:b/>
          <w:bCs/>
          <w:color w:val="333333"/>
          <w:sz w:val="26"/>
          <w:szCs w:val="26"/>
        </w:rPr>
        <w:t xml:space="preserve">7.3 Escalation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Lease Accountant — routine recording, modifications, and disclosures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 classification judgments, embedded lease determinations, material modifications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 significant new lease commitments, portfolio exposure concerns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lease liability reconciliation to the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the lease portfolio for upcoming expirations, renewals, and escalations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the complete contract portfolio for potential embedded leases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IBR update and validation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lease disclosure preparation and Controller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data completeness in the system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leases captured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liability GL reconciliation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Reconciled monthly, zero variance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New lease setup within [5] days of commencement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Embedded lease review for new contracts &gt; [threshold]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disclosure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restatements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842, Leases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Property, Plant, and Equipment (ROU asset impairment)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420, Exit or Disposal Cost Obligations (lease termination)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Lease vs. Buy Analysis Framework</w:t>
      </w:r>
    </w:p>
    <w:p>
      <w:pPr>
        <w:spacing w:after="150" w:before="0"/>
        <w:jc w:val="both"/>
      </w:pPr>
      <w:r>
        <w:rPr>
          <w:rFonts w:ascii="Calibri" w:cs="Calibri" w:eastAsia="Calibri" w:hAnsi="Calibri"/>
          <w:color w:val="333333"/>
          <w:sz w:val="22"/>
          <w:szCs w:val="22"/>
        </w:rPr>
        <w:t xml:space="preserve">The lease vs. buy analysis shall compare: total cost of ownership under purchase, total cost of leasing (NPV of lease payments), tax implications of each alternative, impact on financial ratios and covenants, flexibility and optionality differences, and residual value risk. The analysis shall be prepared by FP&amp;A with Treasury providing the discount rate and Tax providing the after-tax analysis.</w:t>
      </w:r>
    </w:p>
    <w:p>
      <w:pPr>
        <w:pStyle w:val="Heading2"/>
        <w:spacing w:after="150" w:before="300"/>
      </w:pPr>
      <w:r>
        <w:rPr>
          <w:rFonts w:ascii="Georgia" w:cs="Georgia" w:eastAsia="Georgia" w:hAnsi="Georgia"/>
          <w:b/>
          <w:bCs/>
          <w:color w:val="333333"/>
          <w:sz w:val="26"/>
          <w:szCs w:val="26"/>
        </w:rPr>
        <w:t xml:space="preserve">Appendix B — Lease Classification Decision Tree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Does the lease transfer ownership? Yes → Finance Lease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Is there a purchase option reasonably certain to be exercised? Yes → Finance Lease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Is the lease term for the major part (75%+) of the remaining economic life? Yes → Finance Lease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Does the PV of payments equal/exceed substantially all (90%+) of fair value? Yes → Finance Lease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Is the asset of such a specialized nature that it has no alternative use? Yes → Finance Lease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None of the above → Operating Lease</w:t>
      </w:r>
    </w:p>
    <w:p>
      <w:pPr>
        <w:pStyle w:val="Heading2"/>
        <w:spacing w:after="150" w:before="300"/>
      </w:pPr>
      <w:r>
        <w:rPr>
          <w:rFonts w:ascii="Georgia" w:cs="Georgia" w:eastAsia="Georgia" w:hAnsi="Georgia"/>
          <w:b/>
          <w:bCs/>
          <w:color w:val="333333"/>
          <w:sz w:val="26"/>
          <w:szCs w:val="26"/>
        </w:rPr>
        <w:t xml:space="preserve">Appendix C — Lease Portfolio Summary Report</w:t>
      </w:r>
    </w:p>
    <w:p>
      <w:pPr>
        <w:spacing w:after="150" w:before="0"/>
        <w:jc w:val="both"/>
      </w:pPr>
      <w:r>
        <w:rPr>
          <w:rFonts w:ascii="Calibri" w:cs="Calibri" w:eastAsia="Calibri" w:hAnsi="Calibri"/>
          <w:color w:val="333333"/>
          <w:sz w:val="22"/>
          <w:szCs w:val="22"/>
        </w:rPr>
        <w:t xml:space="preserve">The quarterly lease portfolio report shall include: total ROU assets by asset class, total lease liabilities (current and non-current), weighted average remaining lease term, weighted average discount rate, maturity analysis of undiscounted payments, and significant lease commitments not yet commenced.</w:t>
      </w:r>
    </w:p>
    <w:p>
      <w:pPr>
        <w:pStyle w:val="Heading2"/>
        <w:spacing w:after="150" w:before="300"/>
      </w:pPr>
      <w:r>
        <w:rPr>
          <w:rFonts w:ascii="Georgia" w:cs="Georgia" w:eastAsia="Georgia" w:hAnsi="Georgia"/>
          <w:b/>
          <w:bCs/>
          <w:color w:val="333333"/>
          <w:sz w:val="26"/>
          <w:szCs w:val="26"/>
        </w:rPr>
        <w:t xml:space="preserve">Appendix D — Embedded Lease Identification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the contract involve the use of a specific, identified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the supplier have the practical ability to substitute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[Company Name] have the right to control the use of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[Company Name] obtain substantially all economic benefits from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[Company Name] direct how and for what purpose the asset is used?</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If all answers are Yes (except substitution, which should be No), the arrangement likely contains an embedded lease.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Sale-Leaseback Transactions</w:t>
      </w:r>
    </w:p>
    <w:p>
      <w:pPr>
        <w:pStyle w:val="Heading2"/>
        <w:spacing w:after="150" w:before="300"/>
      </w:pPr>
      <w:r>
        <w:rPr>
          <w:rFonts w:ascii="Georgia" w:cs="Georgia" w:eastAsia="Georgia" w:hAnsi="Georgia"/>
          <w:b/>
          <w:bCs/>
          <w:color w:val="333333"/>
          <w:sz w:val="26"/>
          <w:szCs w:val="26"/>
        </w:rPr>
        <w:t xml:space="preserve">11.1 Accounting Treatment</w:t>
      </w:r>
    </w:p>
    <w:p>
      <w:pPr>
        <w:spacing w:after="150" w:before="0"/>
        <w:jc w:val="both"/>
      </w:pPr>
      <w:r>
        <w:rPr>
          <w:rFonts w:ascii="Calibri" w:cs="Calibri" w:eastAsia="Calibri" w:hAnsi="Calibri"/>
          <w:color w:val="333333"/>
          <w:sz w:val="22"/>
          <w:szCs w:val="22"/>
        </w:rPr>
        <w:t xml:space="preserve">[Company Name] shall evaluate all sale-leaseback transactions under ASC 842 to determine whether the transfer of the asset qualifies as a sale. If control transfers to the buyer-lessor per ASC 606, the transaction is accounted for as a sale with a leaseback. If control does not transfer (e.g., repurchase options, seller-lessee guarantee of the buyer-lessor's investment), the arrangement is a failed sale and shall be accounted for as a financing transaction.</w:t>
      </w:r>
    </w:p>
    <w:p>
      <w:pPr>
        <w:pStyle w:val="Heading2"/>
        <w:spacing w:after="150" w:before="300"/>
      </w:pPr>
      <w:r>
        <w:rPr>
          <w:rFonts w:ascii="Georgia" w:cs="Georgia" w:eastAsia="Georgia" w:hAnsi="Georgia"/>
          <w:b/>
          <w:bCs/>
          <w:color w:val="333333"/>
          <w:sz w:val="26"/>
          <w:szCs w:val="26"/>
        </w:rPr>
        <w:t xml:space="preserve">11.2 Gain Recognition</w:t>
      </w:r>
    </w:p>
    <w:p>
      <w:pPr>
        <w:spacing w:after="150" w:before="0"/>
        <w:jc w:val="both"/>
      </w:pPr>
      <w:r>
        <w:rPr>
          <w:rFonts w:ascii="Calibri" w:cs="Calibri" w:eastAsia="Calibri" w:hAnsi="Calibri"/>
          <w:color w:val="333333"/>
          <w:sz w:val="22"/>
          <w:szCs w:val="22"/>
        </w:rPr>
        <w:t xml:space="preserve">For a successful sale-leaseback, any gain or loss on the sale is recognized only to the extent it relates to the rights transferred (not the rights retained through the leaseback). The gain attributable to the rights retained is deferred within the ROU asset measurement. For financing transactions (failed sale), no gain is recognized, the asset remains on the seller-lessee's balance sheet, and the proceeds are recorded as a financial liability.</w:t>
      </w:r>
    </w:p>
    <w:p>
      <w:pPr>
        <w:pStyle w:val="Heading2"/>
        <w:spacing w:after="150" w:before="300"/>
      </w:pPr>
      <w:r>
        <w:rPr>
          <w:rFonts w:ascii="Georgia" w:cs="Georgia" w:eastAsia="Georgia" w:hAnsi="Georgia"/>
          <w:b/>
          <w:bCs/>
          <w:color w:val="333333"/>
          <w:sz w:val="26"/>
          <w:szCs w:val="26"/>
        </w:rPr>
        <w:t xml:space="preserve">11.3 Approval Requirements</w:t>
      </w:r>
    </w:p>
    <w:p>
      <w:pPr>
        <w:spacing w:after="150" w:before="0"/>
        <w:jc w:val="both"/>
      </w:pPr>
      <w:r>
        <w:rPr>
          <w:rFonts w:ascii="Calibri" w:cs="Calibri" w:eastAsia="Calibri" w:hAnsi="Calibri"/>
          <w:color w:val="333333"/>
          <w:sz w:val="22"/>
          <w:szCs w:val="22"/>
        </w:rPr>
        <w:t xml:space="preserve">All sale-leaseback transactions require CFO approval and Compensation Committee notification (if involving related parties). The accounting treatment shall be reviewed by the Controller with external auditor consultation before execution.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Subleasing</w:t>
      </w:r>
    </w:p>
    <w:p>
      <w:pPr>
        <w:pStyle w:val="Heading2"/>
        <w:spacing w:after="150" w:before="300"/>
      </w:pPr>
      <w:r>
        <w:rPr>
          <w:rFonts w:ascii="Georgia" w:cs="Georgia" w:eastAsia="Georgia" w:hAnsi="Georgia"/>
          <w:b/>
          <w:bCs/>
          <w:color w:val="333333"/>
          <w:sz w:val="26"/>
          <w:szCs w:val="26"/>
        </w:rPr>
        <w:t xml:space="preserve">12.1 Sublease Classification</w:t>
      </w:r>
    </w:p>
    <w:p>
      <w:pPr>
        <w:spacing w:after="150" w:before="0"/>
        <w:jc w:val="both"/>
      </w:pPr>
      <w:r>
        <w:rPr>
          <w:rFonts w:ascii="Calibri" w:cs="Calibri" w:eastAsia="Calibri" w:hAnsi="Calibri"/>
          <w:color w:val="333333"/>
          <w:sz w:val="22"/>
          <w:szCs w:val="22"/>
        </w:rPr>
        <w:t xml:space="preserve">When [Company Name] is the sublessor, the sublease shall be classified independently of the head lease by reference to the underlying asset (not the ROU asset). The sublessor retains the ROU asset and lease liability from the head lease. Sublease income is recognized on a straight-line basis for operating subleases or as interest income for finance subleases.</w:t>
      </w:r>
    </w:p>
    <w:p>
      <w:pPr>
        <w:pStyle w:val="Heading2"/>
        <w:spacing w:after="150" w:before="300"/>
      </w:pPr>
      <w:r>
        <w:rPr>
          <w:rFonts w:ascii="Georgia" w:cs="Georgia" w:eastAsia="Georgia" w:hAnsi="Georgia"/>
          <w:b/>
          <w:bCs/>
          <w:color w:val="333333"/>
          <w:sz w:val="26"/>
          <w:szCs w:val="26"/>
        </w:rPr>
        <w:t xml:space="preserve">12.2 Sublease Approval</w:t>
      </w:r>
    </w:p>
    <w:p>
      <w:pPr>
        <w:spacing w:after="150" w:before="0"/>
        <w:jc w:val="both"/>
      </w:pPr>
      <w:r>
        <w:rPr>
          <w:rFonts w:ascii="Calibri" w:cs="Calibri" w:eastAsia="Calibri" w:hAnsi="Calibri"/>
          <w:color w:val="333333"/>
          <w:sz w:val="22"/>
          <w:szCs w:val="22"/>
        </w:rPr>
        <w:t xml:space="preserve">All subleases require: head lease review for sublease permission or landlord consent, Legal review of the sublease agreement, Controller approval of the accounting treatment, and Real Estate/Facilities coordination of the physical arrangement.</w:t>
      </w:r>
    </w:p>
    <w:p>
      <w:pPr>
        <w:pStyle w:val="Heading2"/>
        <w:spacing w:after="150" w:before="300"/>
      </w:pPr>
      <w:r>
        <w:rPr>
          <w:rFonts w:ascii="Georgia" w:cs="Georgia" w:eastAsia="Georgia" w:hAnsi="Georgia"/>
          <w:b/>
          <w:bCs/>
          <w:color w:val="333333"/>
          <w:sz w:val="26"/>
          <w:szCs w:val="26"/>
        </w:rPr>
        <w:t xml:space="preserve">12.3 Impairment Considerations</w:t>
      </w:r>
    </w:p>
    <w:p>
      <w:pPr>
        <w:spacing w:after="150" w:before="0"/>
        <w:jc w:val="both"/>
      </w:pPr>
      <w:r>
        <w:rPr>
          <w:rFonts w:ascii="Calibri" w:cs="Calibri" w:eastAsia="Calibri" w:hAnsi="Calibri"/>
          <w:color w:val="333333"/>
          <w:sz w:val="22"/>
          <w:szCs w:val="22"/>
        </w:rPr>
        <w:t xml:space="preserve">When [Company Name] decides to cease use of a leased asset and sublease it, the ROU asset shall be tested for impairment per ASC 360. If the sublease income is less than the remaining head lease cost, an impairment loss may need to be recognized on the ROU asset.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13. Lease Portfolio Management</w:t>
      </w:r>
    </w:p>
    <w:p>
      <w:pPr>
        <w:pStyle w:val="Heading2"/>
        <w:spacing w:after="150" w:before="300"/>
      </w:pPr>
      <w:r>
        <w:rPr>
          <w:rFonts w:ascii="Georgia" w:cs="Georgia" w:eastAsia="Georgia" w:hAnsi="Georgia"/>
          <w:b/>
          <w:bCs/>
          <w:color w:val="333333"/>
          <w:sz w:val="26"/>
          <w:szCs w:val="26"/>
        </w:rPr>
        <w:t xml:space="preserve">13.1 Lease Administration System</w:t>
      </w:r>
    </w:p>
    <w:p>
      <w:pPr>
        <w:spacing w:after="150" w:before="0"/>
        <w:jc w:val="both"/>
      </w:pPr>
      <w:r>
        <w:rPr>
          <w:rFonts w:ascii="Calibri" w:cs="Calibri" w:eastAsia="Calibri" w:hAnsi="Calibri"/>
          <w:color w:val="333333"/>
          <w:sz w:val="22"/>
          <w:szCs w:val="22"/>
        </w:rPr>
        <w:t xml:space="preserve">[Company Name] shall maintain all lease data in [lease accounting system]. The system shall support: lease data storage (all terms and conditions), automated ROU asset and lease liability calculations, modification and reassessment processing, journal entry generation, and disclosure report production. All lease data shall be entered within [5] business days of lease commencement.</w:t>
      </w:r>
    </w:p>
    <w:p>
      <w:pPr>
        <w:pStyle w:val="Heading2"/>
        <w:spacing w:after="150" w:before="300"/>
      </w:pPr>
      <w:r>
        <w:rPr>
          <w:rFonts w:ascii="Georgia" w:cs="Georgia" w:eastAsia="Georgia" w:hAnsi="Georgia"/>
          <w:b/>
          <w:bCs/>
          <w:color w:val="333333"/>
          <w:sz w:val="26"/>
          <w:szCs w:val="26"/>
        </w:rPr>
        <w:t xml:space="preserve">13.2 Critical Date Management</w:t>
      </w:r>
    </w:p>
    <w:p>
      <w:pPr>
        <w:spacing w:after="150" w:before="0"/>
        <w:jc w:val="both"/>
      </w:pPr>
      <w:r>
        <w:rPr>
          <w:rFonts w:ascii="Calibri" w:cs="Calibri" w:eastAsia="Calibri" w:hAnsi="Calibri"/>
          <w:color w:val="333333"/>
          <w:sz w:val="22"/>
          <w:szCs w:val="22"/>
        </w:rPr>
        <w:t xml:space="preserve">The Lease Accountant shall maintain a critical date calendar including: lease commencement dates, rent escalation dates, option exercise deadlines (renewal, termination, purchase), lease expiration dates, and notice periods for renewals and terminations. Automated alerts shall be configured at least [180] days before critical dates for significant leases (annual payments &gt; [threshold]).</w:t>
      </w:r>
    </w:p>
    <w:p>
      <w:pPr>
        <w:pStyle w:val="Heading2"/>
        <w:spacing w:after="150" w:before="300"/>
      </w:pPr>
      <w:r>
        <w:rPr>
          <w:rFonts w:ascii="Georgia" w:cs="Georgia" w:eastAsia="Georgia" w:hAnsi="Georgia"/>
          <w:b/>
          <w:bCs/>
          <w:color w:val="333333"/>
          <w:sz w:val="26"/>
          <w:szCs w:val="26"/>
        </w:rPr>
        <w:t xml:space="preserve">13.3 Lease vs. Buy Decision Framework</w:t>
      </w:r>
    </w:p>
    <w:p>
      <w:pPr>
        <w:spacing w:after="150" w:before="0"/>
        <w:jc w:val="both"/>
      </w:pPr>
      <w:r>
        <w:rPr>
          <w:rFonts w:ascii="Calibri" w:cs="Calibri" w:eastAsia="Calibri" w:hAnsi="Calibri"/>
          <w:color w:val="333333"/>
          <w:sz w:val="22"/>
          <w:szCs w:val="22"/>
        </w:rPr>
        <w:t xml:space="preserve">Before entering into a new lease, the requesting department shall evaluate the lease vs. buy alternative. The analysis shall compare: total cost of ownership under purchase, NPV of lease payments including estimated renewal costs, tax implications (depreciation vs. lease deductions), balance sheet impact (owned asset vs. ROU asset), flexibility and technology obsolescence considerations, and maintenance responsibility allocation. The analysis shall be prepared by FP&amp;A with Treasury providing the discount rate.</w:t>
      </w:r>
    </w:p>
    <w:p>
      <w:pPr>
        <w:pStyle w:val="Heading2"/>
        <w:spacing w:after="150" w:before="300"/>
      </w:pPr>
      <w:r>
        <w:rPr>
          <w:rFonts w:ascii="Georgia" w:cs="Georgia" w:eastAsia="Georgia" w:hAnsi="Georgia"/>
          <w:b/>
          <w:bCs/>
          <w:color w:val="333333"/>
          <w:sz w:val="26"/>
          <w:szCs w:val="26"/>
        </w:rPr>
        <w:t xml:space="preserve">13.4 Lease Optimization</w:t>
      </w:r>
    </w:p>
    <w:p>
      <w:pPr>
        <w:spacing w:after="150" w:before="0"/>
        <w:jc w:val="both"/>
      </w:pPr>
      <w:r>
        <w:rPr>
          <w:rFonts w:ascii="Calibri" w:cs="Calibri" w:eastAsia="Calibri" w:hAnsi="Calibri"/>
          <w:color w:val="333333"/>
          <w:sz w:val="22"/>
          <w:szCs w:val="22"/>
        </w:rPr>
        <w:t xml:space="preserve">The Controller shall conduct an annual lease portfolio review to identify: upcoming expirations eligible for renegotiation, excess space available for sublease or early termination, market rent comparisons for upcoming renewals, and opportunities to consolidate locations. The portfolio review findings shall be presented to the CFO with recommendations.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Lease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2026-07-13T07:17:03.869Z</dcterms:created>
  <dcterms:modified xsi:type="dcterms:W3CDTF">2026-07-13T07:17:03.883Z</dcterms:modified>
</cp:coreProperties>
</file>

<file path=docProps/custom.xml><?xml version="1.0" encoding="utf-8"?>
<Properties xmlns="http://schemas.openxmlformats.org/officeDocument/2006/custom-properties" xmlns:vt="http://schemas.openxmlformats.org/officeDocument/2006/docPropsVTypes"/>
</file>