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Fixed Asset &amp; Capitalization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Fixed Asset and Capitalization Policy establishes the standards, procedures, and controls governing how [Company Name] identifies, records, depreciates, impairs, and disposes of property, plant, equipment, and intangible assets. The policy ensures compliance with ASC 360 (Property, Plant, and Equipment), ASC 350 (Intangibles — Goodwill and Other), and ASC 350-40 (Internal-Use Software) and provides a consistent framework for capitalization decisions across the organization.</w:t>
      </w:r>
    </w:p>
    <w:p>
      <w:pPr>
        <w:spacing w:after="150" w:before="0"/>
        <w:jc w:val="both"/>
      </w:pPr>
      <w:r>
        <w:rPr>
          <w:rFonts w:ascii="Calibri" w:cs="Calibri" w:eastAsia="Calibri" w:hAnsi="Calibri"/>
          <w:color w:val="333333"/>
          <w:sz w:val="22"/>
          <w:szCs w:val="22"/>
        </w:rPr>
        <w:t xml:space="preserve">This policy applies to all tangible and intangible long-lived assets acquired, constructed, or internally developed by [Company Name] and its consolidated subsidiaries, regardless of funding source or acquisition method.</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consistent application of capitalization criteria across all business units and asset types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an accurate and complete fixed asset register supporting financial reporting and tax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appropriate useful lives and depreciation methods reflecting economic consumption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US GAAP for asset recognition, measurement, impairment, and disposal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Safeguard company assets through physical verification and custodial accountability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tax benefits through proper tax depreciation elections and methods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 Expenditure (CapEx)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expenditure that acquires or extends the useful life of a long-lived asset, meeting the capitalization threshold and criteria.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Capitalization Threshold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minimum dollar amount for an expenditure to be considered for capitalization rather than expensing. [Company Name]'s threshold is [$X,000].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Useful Life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estimated period over which an asset is expected to provide economic benefit to [Company Name].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Salvage Value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estimated residual value of an asset at the end of its useful life.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Depreciation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systematic allocation of a tangible asset's cost over its useful life.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Amortization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systematic allocation of an intangible asset's cost over its useful life.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Impairment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permanent reduction in the carrying value of an asset when its fair value falls below its book value.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Asset Retirement Obligation (ARO)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legal obligation associated with the retirement of a tangible long-lived asset (ASC 410-20).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Construction in Progress (CIP)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Costs accumulated for assets under construction or development not yet placed in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Internal-Use Software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Software acquired, internally developed, or modified solely to meet internal needs (ASC 350-40).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Capitalization Criteria</w:t>
      </w:r>
    </w:p>
    <w:p>
      <w:pPr>
        <w:spacing w:after="150" w:before="0"/>
        <w:jc w:val="both"/>
      </w:pPr>
      <w:r>
        <w:rPr>
          <w:rFonts w:ascii="Calibri" w:cs="Calibri" w:eastAsia="Calibri" w:hAnsi="Calibri"/>
          <w:color w:val="333333"/>
          <w:sz w:val="22"/>
          <w:szCs w:val="22"/>
        </w:rPr>
        <w:t xml:space="preserve">An expenditure shall be capitalized as a fixed asset when ALL of the following criteria are met: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The cost meets or exceeds the capitalization threshold of [$X,000]</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The asset has a useful life exceeding one year</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The asset is owned or controlled by [Company Name] (or meets lease capitalization criteria under ASC 842)</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 expenditure results in the acquisition of a new asset, extends the useful life of an existing asset, or significantly improves its capacity or functionality</w:t>
      </w:r>
    </w:p>
    <w:p>
      <w:pPr>
        <w:spacing w:after="150" w:before="0"/>
        <w:jc w:val="both"/>
      </w:pPr>
      <w:r>
        <w:rPr>
          <w:rFonts w:ascii="Calibri" w:cs="Calibri" w:eastAsia="Calibri" w:hAnsi="Calibri"/>
          <w:color w:val="333333"/>
          <w:sz w:val="22"/>
          <w:szCs w:val="22"/>
        </w:rPr>
        <w:t xml:space="preserve">Expenditures that maintain an asset in its current condition (repairs and maintenance) shall be expensed as incurred, regardless of amount.</w:t>
      </w:r>
    </w:p>
    <w:p>
      <w:pPr>
        <w:pStyle w:val="Heading2"/>
        <w:spacing w:after="150" w:before="300"/>
      </w:pPr>
      <w:r>
        <w:rPr>
          <w:rFonts w:ascii="Georgia" w:cs="Georgia" w:eastAsia="Georgia" w:hAnsi="Georgia"/>
          <w:b/>
          <w:bCs/>
          <w:color w:val="333333"/>
          <w:sz w:val="26"/>
          <w:szCs w:val="26"/>
        </w:rPr>
        <w:t xml:space="preserve">3.2 Capitalization Threshold</w:t>
      </w:r>
    </w:p>
    <w:p>
      <w:pPr>
        <w:spacing w:after="150" w:before="0"/>
        <w:jc w:val="both"/>
      </w:pPr>
      <w:r>
        <w:rPr>
          <w:rFonts w:ascii="Calibri" w:cs="Calibri" w:eastAsia="Calibri" w:hAnsi="Calibri"/>
          <w:color w:val="333333"/>
          <w:sz w:val="22"/>
          <w:szCs w:val="22"/>
        </w:rPr>
        <w:t xml:space="preserve">[Company Name]'s capitalization threshold is [$X,000] per individual asset or group of similar assets placed in service at the same time for the same purpose. Items below the threshold shall be expensed in the period incurred. The threshold shall be reviewed annually by the Controller and adjusted for changes in business scale.</w:t>
      </w:r>
    </w:p>
    <w:p>
      <w:pPr>
        <w:pStyle w:val="Heading2"/>
        <w:spacing w:after="150" w:before="300"/>
      </w:pPr>
      <w:r>
        <w:rPr>
          <w:rFonts w:ascii="Georgia" w:cs="Georgia" w:eastAsia="Georgia" w:hAnsi="Georgia"/>
          <w:b/>
          <w:bCs/>
          <w:color w:val="333333"/>
          <w:sz w:val="26"/>
          <w:szCs w:val="26"/>
        </w:rPr>
        <w:t xml:space="preserve">3.3 Depreciation Policy</w:t>
      </w:r>
    </w:p>
    <w:p>
      <w:pPr>
        <w:spacing w:after="150" w:before="0"/>
        <w:jc w:val="both"/>
      </w:pPr>
      <w:r>
        <w:rPr>
          <w:rFonts w:ascii="Calibri" w:cs="Calibri" w:eastAsia="Calibri" w:hAnsi="Calibri"/>
          <w:color w:val="333333"/>
          <w:sz w:val="22"/>
          <w:szCs w:val="22"/>
        </w:rPr>
        <w:t xml:space="preserve">[Company Name] shall depreciate tangible assets using the straight-line method over the estimated useful life, unless a different method more accurately reflects the pattern of economic benefit consumption. The following standard useful lives shall be applied unless a specific assessment justifies deviation: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Asset Category</w:t>
            </w:r>
          </w:p>
        </w:tc>
        <w:tc>
          <w:tcPr>
            <w:tcW w:type="dxa" w:w="6160"/>
            <w:shd w:fill="0C0C0C" w:val="clear"/>
          </w:tcPr>
          <w:p>
            <w:pPr>
              <w:spacing w:after="60" w:before="60"/>
            </w:pPr>
            <w:r>
              <w:rPr>
                <w:rFonts w:ascii="Calibri" w:cs="Calibri" w:eastAsia="Calibri" w:hAnsi="Calibri"/>
                <w:b/>
                <w:bCs/>
                <w:color w:val="D4AF37"/>
                <w:sz w:val="20"/>
                <w:szCs w:val="20"/>
              </w:rPr>
              <w:t xml:space="preserve">Useful Life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Buildings and improvements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30–40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Leasehold improvements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Lesser of useful life or remaining lease term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Furniture and fixtures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7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Computer hardware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Vehicles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Machinery and equipment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5–10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Internal-use software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Purchased intangible assets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 specific assessment (typically 3–15 years)</w:t>
            </w:r>
          </w:p>
        </w:tc>
      </w:tr>
    </w:tbl>
    <w:p>
      <w:pPr>
        <w:pStyle w:val="Heading2"/>
        <w:spacing w:after="150" w:before="300"/>
      </w:pPr>
      <w:r>
        <w:rPr>
          <w:rFonts w:ascii="Georgia" w:cs="Georgia" w:eastAsia="Georgia" w:hAnsi="Georgia"/>
          <w:b/>
          <w:bCs/>
          <w:color w:val="333333"/>
          <w:sz w:val="26"/>
          <w:szCs w:val="26"/>
        </w:rPr>
        <w:t xml:space="preserve">3.4 Impairment Testing</w:t>
      </w:r>
    </w:p>
    <w:p>
      <w:pPr>
        <w:spacing w:after="150" w:before="0"/>
        <w:jc w:val="both"/>
      </w:pPr>
      <w:r>
        <w:rPr>
          <w:rFonts w:ascii="Calibri" w:cs="Calibri" w:eastAsia="Calibri" w:hAnsi="Calibri"/>
          <w:color w:val="333333"/>
          <w:sz w:val="22"/>
          <w:szCs w:val="22"/>
        </w:rPr>
        <w:t xml:space="preserve">Long-lived assets shall be tested for impairment whenever events or changes in circumstances indicate that the carrying amount may not be recoverable (triggering events per ASC 360-10-35-21). Goodwill and indefinite-lived intangible assets shall be tested at least annually, or more frequently if triggering events occur.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CapEx budget and individual capital projects exceeding [threshold]. Reviews annual impairment assessment.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this policy. Approves capitalization treatment for non-standard items. Reviews useful life assignments. Oversees impairment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Fixed Asset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the fixed asset register. Processes asset additions, transfers, and disposals. Runs depreciation. Coordinates physical verification.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Advises on tax depreciation elections (Section 179, bonus depreciation). Maintains the tax fixed asset register. Ensures book-tax difference tracking.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Department Managers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Submit capital asset requests per the CapEx approval process. Maintain custodial responsibility for assets in their department. Report asset transfers and disposals.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Procurement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acquisition process for capital assets. Ensures vendor compliance and warranty documentation.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technology asset lifecycle. Tracks hardware and software assets. Coordinates asset retirement and data destruction.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fixed asset controls periodically. Participates in physical verification. Reviews capitalization decisions for compliance.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Asset Acquisition</w:t>
      </w:r>
    </w:p>
    <w:p>
      <w:pPr>
        <w:pStyle w:val="Heading3"/>
        <w:spacing w:after="100" w:before="200"/>
      </w:pPr>
      <w:r>
        <w:rPr>
          <w:rFonts w:ascii="Georgia" w:cs="Georgia" w:eastAsia="Georgia" w:hAnsi="Georgia"/>
          <w:b/>
          <w:bCs/>
          <w:color w:val="444444"/>
          <w:sz w:val="22"/>
          <w:szCs w:val="22"/>
        </w:rPr>
        <w:t xml:space="preserve">5.1.1 Capital Expenditure Request</w:t>
      </w:r>
    </w:p>
    <w:p>
      <w:pPr>
        <w:spacing w:after="150" w:before="0"/>
        <w:jc w:val="both"/>
      </w:pPr>
      <w:r>
        <w:rPr>
          <w:rFonts w:ascii="Calibri" w:cs="Calibri" w:eastAsia="Calibri" w:hAnsi="Calibri"/>
          <w:color w:val="333333"/>
          <w:sz w:val="22"/>
          <w:szCs w:val="22"/>
        </w:rPr>
        <w:t xml:space="preserve">All capital expenditures shall be requested through the CapEx request process. The request shall include: description of the asset, business justification, estimated cost, proposed useful life, budget availability, and expected benefits. CapEx requests exceeding [threshold] require a formal business case with ROI analysis.</w:t>
      </w:r>
    </w:p>
    <w:p>
      <w:pPr>
        <w:pStyle w:val="Heading3"/>
        <w:spacing w:after="100" w:before="200"/>
      </w:pPr>
      <w:r>
        <w:rPr>
          <w:rFonts w:ascii="Georgia" w:cs="Georgia" w:eastAsia="Georgia" w:hAnsi="Georgia"/>
          <w:b/>
          <w:bCs/>
          <w:color w:val="444444"/>
          <w:sz w:val="22"/>
          <w:szCs w:val="22"/>
        </w:rPr>
        <w:t xml:space="preserve">5.1.2 Recording Asset Additions</w:t>
      </w:r>
    </w:p>
    <w:p>
      <w:pPr>
        <w:spacing w:after="150" w:before="0"/>
        <w:jc w:val="both"/>
      </w:pPr>
      <w:r>
        <w:rPr>
          <w:rFonts w:ascii="Calibri" w:cs="Calibri" w:eastAsia="Calibri" w:hAnsi="Calibri"/>
          <w:color w:val="333333"/>
          <w:sz w:val="22"/>
          <w:szCs w:val="22"/>
        </w:rPr>
        <w:t xml:space="preserve">Upon receipt of the asset and vendor invoice, the Fixed Asset Accountant shall: verify the invoice amount against the approved CapEx request, record the asset in the fixed asset register with all required attributes (description, location, custodian, cost, useful life, depreciation method), assign a unique asset tag number, and begin depreciation from the date the asset is placed in service.</w:t>
      </w:r>
    </w:p>
    <w:p>
      <w:pPr>
        <w:pStyle w:val="Heading3"/>
        <w:spacing w:after="100" w:before="200"/>
      </w:pPr>
      <w:r>
        <w:rPr>
          <w:rFonts w:ascii="Georgia" w:cs="Georgia" w:eastAsia="Georgia" w:hAnsi="Georgia"/>
          <w:b/>
          <w:bCs/>
          <w:color w:val="444444"/>
          <w:sz w:val="22"/>
          <w:szCs w:val="22"/>
        </w:rPr>
        <w:t xml:space="preserve">5.1.3 Cost Components</w:t>
      </w:r>
    </w:p>
    <w:p>
      <w:pPr>
        <w:spacing w:after="150" w:before="0"/>
        <w:jc w:val="both"/>
      </w:pPr>
      <w:r>
        <w:rPr>
          <w:rFonts w:ascii="Calibri" w:cs="Calibri" w:eastAsia="Calibri" w:hAnsi="Calibri"/>
          <w:color w:val="333333"/>
          <w:sz w:val="22"/>
          <w:szCs w:val="22"/>
        </w:rPr>
        <w:t xml:space="preserve">The capitalized cost of an asset includes all costs necessary to bring the asset to its intended condition and location for use: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Purchase price (net of discounts and rebates)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Sales tax and duties (non-recoverable)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Freight and delivery charges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Installation and testing costs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Site preparation costs directly attributable to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Professional fees directly related to the acquisition (legal, engineering)</w:t>
      </w:r>
    </w:p>
    <w:p>
      <w:pPr>
        <w:spacing w:after="150" w:before="0"/>
        <w:jc w:val="both"/>
      </w:pPr>
      <w:r>
        <w:rPr>
          <w:rFonts w:ascii="Calibri" w:cs="Calibri" w:eastAsia="Calibri" w:hAnsi="Calibri"/>
          <w:color w:val="333333"/>
          <w:sz w:val="22"/>
          <w:szCs w:val="22"/>
        </w:rPr>
        <w:t xml:space="preserve">The following costs shall NOT be capitalized: training costs, administrative and general overhead, relocation costs, costs of an inefficiency or error during installation, and operating losses incurred before the asset reaches planned capacity.</w:t>
      </w:r>
    </w:p>
    <w:p>
      <w:pPr>
        <w:pStyle w:val="Heading2"/>
        <w:spacing w:after="150" w:before="300"/>
      </w:pPr>
      <w:r>
        <w:rPr>
          <w:rFonts w:ascii="Georgia" w:cs="Georgia" w:eastAsia="Georgia" w:hAnsi="Georgia"/>
          <w:b/>
          <w:bCs/>
          <w:color w:val="333333"/>
          <w:sz w:val="26"/>
          <w:szCs w:val="26"/>
        </w:rPr>
        <w:t xml:space="preserve">5.2 Construction in Progress</w:t>
      </w:r>
    </w:p>
    <w:p>
      <w:pPr>
        <w:spacing w:after="150" w:before="0"/>
        <w:jc w:val="both"/>
      </w:pPr>
      <w:r>
        <w:rPr>
          <w:rFonts w:ascii="Calibri" w:cs="Calibri" w:eastAsia="Calibri" w:hAnsi="Calibri"/>
          <w:color w:val="333333"/>
          <w:sz w:val="22"/>
          <w:szCs w:val="22"/>
        </w:rPr>
        <w:t xml:space="preserve">Assets under construction or development shall be accumulated in CIP until the asset is substantially complete and placed in service. CIP shall be reviewed monthly for: proper cost accumulation, progress against budget, and readiness for capitalization. Interest costs shall be capitalized during the construction period for qualifying assets per ASC 835-20. CIP balances shall be reviewed quarterly by the Controller for assets ready for capitalization.</w:t>
      </w:r>
    </w:p>
    <w:p>
      <w:pPr>
        <w:pStyle w:val="Heading2"/>
        <w:spacing w:after="150" w:before="300"/>
      </w:pPr>
      <w:r>
        <w:rPr>
          <w:rFonts w:ascii="Georgia" w:cs="Georgia" w:eastAsia="Georgia" w:hAnsi="Georgia"/>
          <w:b/>
          <w:bCs/>
          <w:color w:val="333333"/>
          <w:sz w:val="26"/>
          <w:szCs w:val="26"/>
        </w:rPr>
        <w:t xml:space="preserve">5.3 Internal-Use Software (ASC 350-40)</w:t>
      </w:r>
    </w:p>
    <w:p>
      <w:pPr>
        <w:pStyle w:val="Heading3"/>
        <w:spacing w:after="100" w:before="200"/>
      </w:pPr>
      <w:r>
        <w:rPr>
          <w:rFonts w:ascii="Georgia" w:cs="Georgia" w:eastAsia="Georgia" w:hAnsi="Georgia"/>
          <w:b/>
          <w:bCs/>
          <w:color w:val="444444"/>
          <w:sz w:val="22"/>
          <w:szCs w:val="22"/>
        </w:rPr>
        <w:t xml:space="preserve">5.3.1 Development Stage Capitalization</w:t>
      </w:r>
    </w:p>
    <w:p>
      <w:pPr>
        <w:spacing w:after="150" w:before="0"/>
        <w:jc w:val="both"/>
      </w:pPr>
      <w:r>
        <w:rPr>
          <w:rFonts w:ascii="Calibri" w:cs="Calibri" w:eastAsia="Calibri" w:hAnsi="Calibri"/>
          <w:color w:val="333333"/>
          <w:sz w:val="22"/>
          <w:szCs w:val="22"/>
        </w:rPr>
        <w:t xml:space="preserve">Costs incurred during the application development stage of internal-use software shall be capitalized. Costs during the preliminary project stage and post-implementation stage shall be expensed. Cloud computing arrangement costs (hosting arrangements) shall be evaluated per ASC 350-40 for capitalization of implementation costs.</w:t>
      </w:r>
    </w:p>
    <w:p>
      <w:pPr>
        <w:pStyle w:val="Heading3"/>
        <w:spacing w:after="100" w:before="200"/>
      </w:pPr>
      <w:r>
        <w:rPr>
          <w:rFonts w:ascii="Georgia" w:cs="Georgia" w:eastAsia="Georgia" w:hAnsi="Georgia"/>
          <w:b/>
          <w:bCs/>
          <w:color w:val="444444"/>
          <w:sz w:val="22"/>
          <w:szCs w:val="22"/>
        </w:rPr>
        <w:t xml:space="preserve">5.3.2 Capitalizable Costs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External direct costs of materials and services consumed in developing the software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and payroll-related costs for employees directly associated with the project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Interest costs incurred during the development stage (for qualifying assets)</w:t>
      </w:r>
    </w:p>
    <w:p>
      <w:pPr>
        <w:spacing w:after="150" w:before="0"/>
        <w:jc w:val="both"/>
      </w:pPr>
      <w:r>
        <w:rPr>
          <w:rFonts w:ascii="Calibri" w:cs="Calibri" w:eastAsia="Calibri" w:hAnsi="Calibri"/>
          <w:color w:val="333333"/>
          <w:sz w:val="22"/>
          <w:szCs w:val="22"/>
        </w:rPr>
        <w:t xml:space="preserve">General and administrative costs, training, and data conversion costs shall be expensed.</w:t>
      </w:r>
    </w:p>
    <w:p>
      <w:pPr>
        <w:pStyle w:val="Heading2"/>
        <w:spacing w:after="150" w:before="300"/>
      </w:pPr>
      <w:r>
        <w:rPr>
          <w:rFonts w:ascii="Georgia" w:cs="Georgia" w:eastAsia="Georgia" w:hAnsi="Georgia"/>
          <w:b/>
          <w:bCs/>
          <w:color w:val="333333"/>
          <w:sz w:val="26"/>
          <w:szCs w:val="26"/>
        </w:rPr>
        <w:t xml:space="preserve">5.4 Asset Disposal</w:t>
      </w:r>
    </w:p>
    <w:p>
      <w:pPr>
        <w:pStyle w:val="Heading3"/>
        <w:spacing w:after="100" w:before="200"/>
      </w:pPr>
      <w:r>
        <w:rPr>
          <w:rFonts w:ascii="Georgia" w:cs="Georgia" w:eastAsia="Georgia" w:hAnsi="Georgia"/>
          <w:b/>
          <w:bCs/>
          <w:color w:val="444444"/>
          <w:sz w:val="22"/>
          <w:szCs w:val="22"/>
        </w:rPr>
        <w:t xml:space="preserve">5.4.1 Disposal Process</w:t>
      </w:r>
    </w:p>
    <w:p>
      <w:pPr>
        <w:spacing w:after="150" w:before="0"/>
        <w:jc w:val="both"/>
      </w:pPr>
      <w:r>
        <w:rPr>
          <w:rFonts w:ascii="Calibri" w:cs="Calibri" w:eastAsia="Calibri" w:hAnsi="Calibri"/>
          <w:color w:val="333333"/>
          <w:sz w:val="22"/>
          <w:szCs w:val="22"/>
        </w:rPr>
        <w:t xml:space="preserve">When an asset is retired, sold, traded, or otherwise disposed of, the following steps shall be completed:</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Department manager submits disposal request with reason and method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Fixed Asset Accountant records the disposal: removes cost and accumulated depreciation, records gain or loss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IT confirms data destruction for technology assets (certificate of data destruction required)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Environmental compliance verified for regulated items (electronics, chemicals)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Sale proceeds recorded and reconciled to the fixed asset register</w:t>
      </w:r>
    </w:p>
    <w:p>
      <w:pPr>
        <w:pStyle w:val="Heading3"/>
        <w:spacing w:after="100" w:before="200"/>
      </w:pPr>
      <w:r>
        <w:rPr>
          <w:rFonts w:ascii="Georgia" w:cs="Georgia" w:eastAsia="Georgia" w:hAnsi="Georgia"/>
          <w:b/>
          <w:bCs/>
          <w:color w:val="444444"/>
          <w:sz w:val="22"/>
          <w:szCs w:val="22"/>
        </w:rPr>
        <w:t xml:space="preserve">5.4.2 Disposal Approval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Net Book Value</w:t>
            </w:r>
          </w:p>
        </w:tc>
        <w:tc>
          <w:tcPr>
            <w:tcW w:type="dxa" w:w="2400"/>
            <w:shd w:fill="0C0C0C" w:val="clear"/>
          </w:tcPr>
          <w:p>
            <w:pPr>
              <w:spacing w:after="60" w:before="60"/>
            </w:pPr>
            <w:r>
              <w:rPr>
                <w:rFonts w:ascii="Calibri" w:cs="Calibri" w:eastAsia="Calibri" w:hAnsi="Calibri"/>
                <w:b/>
                <w:bCs/>
                <w:color w:val="D4AF37"/>
                <w:sz w:val="20"/>
                <w:szCs w:val="20"/>
              </w:rPr>
              <w:t xml:space="preserve">Disposal Method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$5,000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Department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$5,000 – $50,000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$50,000 – $250,000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&gt; $250,000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Any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Any amount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Sale to employee or related party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 review</w:t>
            </w:r>
          </w:p>
        </w:tc>
      </w:tr>
    </w:tbl>
    <w:p>
      <w:pPr>
        <w:pStyle w:val="Heading2"/>
        <w:spacing w:after="150" w:before="300"/>
      </w:pPr>
      <w:r>
        <w:rPr>
          <w:rFonts w:ascii="Georgia" w:cs="Georgia" w:eastAsia="Georgia" w:hAnsi="Georgia"/>
          <w:b/>
          <w:bCs/>
          <w:color w:val="333333"/>
          <w:sz w:val="26"/>
          <w:szCs w:val="26"/>
        </w:rPr>
        <w:t xml:space="preserve">5.5 Physical Verification</w:t>
      </w:r>
    </w:p>
    <w:p>
      <w:pPr>
        <w:spacing w:after="150" w:before="0"/>
        <w:jc w:val="both"/>
      </w:pPr>
      <w:r>
        <w:rPr>
          <w:rFonts w:ascii="Calibri" w:cs="Calibri" w:eastAsia="Calibri" w:hAnsi="Calibri"/>
          <w:color w:val="333333"/>
          <w:sz w:val="22"/>
          <w:szCs w:val="22"/>
        </w:rPr>
        <w:t xml:space="preserve">[Company Name] shall conduct a physical verification of fixed assets at least every [24] months. The verification shall confirm: existence (the asset physically exists), condition (the asset is in usable condition), location (the asset is where the register indicates), and custodian (the responsible party is correct). Discrepancies between the physical count and the register shall be investigated and resolved within [30] days. Missing assets shall be escalated to the Controller and, if theft is suspected, to Security and Legal.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CapEx Amount</w:t>
            </w:r>
          </w:p>
        </w:tc>
        <w:tc>
          <w:tcPr>
            <w:tcW w:type="dxa" w:w="2400"/>
            <w:shd w:fill="0C0C0C" w:val="clear"/>
          </w:tcPr>
          <w:p>
            <w:pPr>
              <w:spacing w:after="60" w:before="60"/>
            </w:pPr>
            <w:r>
              <w:rPr>
                <w:rFonts w:ascii="Calibri" w:cs="Calibri" w:eastAsia="Calibri" w:hAnsi="Calibri"/>
                <w:b/>
                <w:bCs/>
                <w:color w:val="D4AF37"/>
                <w:sz w:val="20"/>
                <w:szCs w:val="20"/>
              </w:rPr>
              <w:t xml:space="preserve">Required Approvals</w:t>
            </w:r>
          </w:p>
        </w:tc>
        <w:tc>
          <w:tcPr>
            <w:tcW w:type="dxa" w:w="4560"/>
            <w:shd w:fill="0C0C0C" w:val="clear"/>
          </w:tcPr>
          <w:p>
            <w:pPr>
              <w:spacing w:after="60" w:before="60"/>
            </w:pPr>
            <w:r>
              <w:rPr>
                <w:rFonts w:ascii="Calibri" w:cs="Calibri" w:eastAsia="Calibri" w:hAnsi="Calibri"/>
                <w:b/>
                <w:bCs/>
                <w:color w:val="D4AF37"/>
                <w:sz w:val="20"/>
                <w:szCs w:val="20"/>
              </w:rPr>
              <w:t xml:space="preserve">Additional Requirements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&lt; $25,000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Department Manager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Budget availability confirmation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$25,000 – $100,000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VP + Controller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Written business justification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$100,000 – $500,000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Formal business case with ROI</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$500,000 – $1,000,000</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CFO + CEO</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information item</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&gt; $1,000,000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Board approval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Full investment analysis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pStyle w:val="Heading2"/>
        <w:spacing w:after="150" w:before="300"/>
      </w:pPr>
      <w:r>
        <w:rPr>
          <w:rFonts w:ascii="Georgia" w:cs="Georgia" w:eastAsia="Georgia" w:hAnsi="Georgia"/>
          <w:b/>
          <w:bCs/>
          <w:color w:val="333333"/>
          <w:sz w:val="26"/>
          <w:szCs w:val="26"/>
        </w:rPr>
        <w:t xml:space="preserve">7.1 Capitalization Exceptions</w:t>
      </w:r>
    </w:p>
    <w:p>
      <w:pPr>
        <w:spacing w:after="150" w:before="0"/>
        <w:jc w:val="both"/>
      </w:pPr>
      <w:r>
        <w:rPr>
          <w:rFonts w:ascii="Calibri" w:cs="Calibri" w:eastAsia="Calibri" w:hAnsi="Calibri"/>
          <w:color w:val="333333"/>
          <w:sz w:val="22"/>
          <w:szCs w:val="22"/>
        </w:rPr>
        <w:t xml:space="preserve">Requests to deviate from standard capitalization criteria (e.g., capitalizing below-threshold items as a group, using non-standard useful lives, or capitalizing costs that are normally expensed) require written approval from the Controller with documentation of the rationale and GAAP basis.</w:t>
      </w:r>
    </w:p>
    <w:p>
      <w:pPr>
        <w:pStyle w:val="Heading2"/>
        <w:spacing w:after="150" w:before="300"/>
      </w:pPr>
      <w:r>
        <w:rPr>
          <w:rFonts w:ascii="Georgia" w:cs="Georgia" w:eastAsia="Georgia" w:hAnsi="Georgia"/>
          <w:b/>
          <w:bCs/>
          <w:color w:val="333333"/>
          <w:sz w:val="26"/>
          <w:szCs w:val="26"/>
        </w:rPr>
        <w:t xml:space="preserve">7.2 Emergency Capital Expenditures</w:t>
      </w:r>
    </w:p>
    <w:p>
      <w:pPr>
        <w:spacing w:after="150" w:before="0"/>
        <w:jc w:val="both"/>
      </w:pPr>
      <w:r>
        <w:rPr>
          <w:rFonts w:ascii="Calibri" w:cs="Calibri" w:eastAsia="Calibri" w:hAnsi="Calibri"/>
          <w:color w:val="333333"/>
          <w:sz w:val="22"/>
          <w:szCs w:val="22"/>
        </w:rPr>
        <w:t xml:space="preserve">Emergency CapEx (unplanned replacements due to equipment failure, safety requirements, or regulatory mandates) may be approved outside the normal budget cycle with CFO approval. Emergency approvals shall be documented and reported to the board at the next scheduled meeting.</w:t>
      </w:r>
    </w:p>
    <w:p>
      <w:pPr>
        <w:pStyle w:val="Heading2"/>
        <w:spacing w:after="150" w:before="300"/>
      </w:pPr>
      <w:r>
        <w:rPr>
          <w:rFonts w:ascii="Georgia" w:cs="Georgia" w:eastAsia="Georgia" w:hAnsi="Georgia"/>
          <w:b/>
          <w:bCs/>
          <w:color w:val="333333"/>
          <w:sz w:val="26"/>
          <w:szCs w:val="26"/>
        </w:rPr>
        <w:t xml:space="preserve">7.3 Escalation Path</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Fixed Asset Accountant — routine recording, depreciation, register maintenance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Accounting Manager — capitalization decisions within standard criteria</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Controller — non-standard capitalization, useful life deviations, impairment triggers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CFO — material impairments, significant disposals, policy exceptions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pStyle w:val="Heading2"/>
        <w:spacing w:after="150" w:before="300"/>
      </w:pPr>
      <w:r>
        <w:rPr>
          <w:rFonts w:ascii="Georgia" w:cs="Georgia" w:eastAsia="Georgia" w:hAnsi="Georgia"/>
          <w:b/>
          <w:bCs/>
          <w:color w:val="333333"/>
          <w:sz w:val="26"/>
          <w:szCs w:val="26"/>
        </w:rPr>
        <w:t xml:space="preserve">8.1 Ongoing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depreciation run and reconciliation of the fixed asset sub-ledger to GL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CIP review for assets ready for capitalization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fully depreciated assets still in use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impairment trigger assessment for long-lived assets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goodwill and indefinite-lived intangible impairment testing</w:t>
      </w:r>
    </w:p>
    <w:p>
      <w:pPr>
        <w:pStyle w:val="Heading2"/>
        <w:spacing w:after="150" w:before="300"/>
      </w:pPr>
      <w:r>
        <w:rPr>
          <w:rFonts w:ascii="Georgia" w:cs="Georgia" w:eastAsia="Georgia" w:hAnsi="Georgia"/>
          <w:b/>
          <w:bCs/>
          <w:color w:val="333333"/>
          <w:sz w:val="26"/>
          <w:szCs w:val="26"/>
        </w:rPr>
        <w:t xml:space="preserve">8.2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CapEx actual vs.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 variance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Physical verification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every [24] months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CIP aging (items &gt; 12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items, fully explained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adjustments (fixed assets)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material adjustments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Asset register accuracy (physical vs. book)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[98%] match rate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Allocation &amp; CapEx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Lease Accounting Policy (ASC 842)</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360, Property, Plant, and Equipment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350, Intangibles — Goodwill and Other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350-40, Internal-Use Software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835-20, Interest — Capitalization of Interest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410-20, Asset Retirement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CapEx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department,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Asset Description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Detailed description of the asset to be acquired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Justification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Why the asset is needed and expected benefits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Estimated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Total cost including installation and related costs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Budget Line Item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Budget category and available balance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Proposed Useful Life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Expected service life in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Vendor Information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Proposed vendor and any alternative quotes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ROI Analysis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Required for requests exceeding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Approvals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the approval matrix above</w:t>
            </w:r>
          </w:p>
        </w:tc>
      </w:tr>
    </w:tbl>
    <w:p>
      <w:pPr>
        <w:pStyle w:val="Heading2"/>
        <w:spacing w:after="150" w:before="300"/>
      </w:pPr>
      <w:r>
        <w:rPr>
          <w:rFonts w:ascii="Georgia" w:cs="Georgia" w:eastAsia="Georgia" w:hAnsi="Georgia"/>
          <w:b/>
          <w:bCs/>
          <w:color w:val="333333"/>
          <w:sz w:val="26"/>
          <w:szCs w:val="26"/>
        </w:rPr>
        <w:t xml:space="preserve">Appendix B — Repair vs. Capitalize Decision Tree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Does the expenditure exceed the capitalization threshold? No → Expense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Does it extend the asset's useful life beyond the original estimate? Yes → Capitalize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Does it significantly increase capacity, efficiency, or functionality? Yes → Capitalize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Does it adapt the asset to a new use? Yes → Capitalize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Is it a replacement of a major component? Yes → Capitalize (and dispose of the replaced component)</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None of the above? → Expense as repair and maintenance</w:t>
      </w:r>
    </w:p>
    <w:p>
      <w:pPr>
        <w:pStyle w:val="Heading2"/>
        <w:spacing w:after="150" w:before="300"/>
      </w:pPr>
      <w:r>
        <w:rPr>
          <w:rFonts w:ascii="Georgia" w:cs="Georgia" w:eastAsia="Georgia" w:hAnsi="Georgia"/>
          <w:b/>
          <w:bCs/>
          <w:color w:val="333333"/>
          <w:sz w:val="26"/>
          <w:szCs w:val="26"/>
        </w:rPr>
        <w:t xml:space="preserve">Appendix C — Asset Category Codes</w:t>
      </w:r>
    </w:p>
    <w:p>
      <w:pPr>
        <w:spacing w:after="150" w:before="0"/>
        <w:jc w:val="both"/>
      </w:pPr>
      <w:r>
        <w:rPr>
          <w:rFonts w:ascii="Calibri" w:cs="Calibri" w:eastAsia="Calibri" w:hAnsi="Calibri"/>
          <w:color w:val="333333"/>
          <w:sz w:val="22"/>
          <w:szCs w:val="22"/>
        </w:rPr>
        <w:t xml:space="preserve">The following asset category codes shall be used in the fixed asset register for consistent classification and reporting: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Code</w:t>
            </w:r>
          </w:p>
        </w:tc>
        <w:tc>
          <w:tcPr>
            <w:tcW w:type="dxa" w:w="6160"/>
            <w:shd w:fill="0C0C0C" w:val="clear"/>
          </w:tcPr>
          <w:p>
            <w:pPr>
              <w:spacing w:after="60" w:before="60"/>
            </w:pPr>
            <w:r>
              <w:rPr>
                <w:rFonts w:ascii="Calibri" w:cs="Calibri" w:eastAsia="Calibri" w:hAnsi="Calibri"/>
                <w:b/>
                <w:bCs/>
                <w:color w:val="D4AF37"/>
                <w:sz w:val="20"/>
                <w:szCs w:val="20"/>
              </w:rPr>
              <w:t xml:space="preserve">Category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BLD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Buildings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LHI</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Leasehold Improvements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FF</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Furniture &amp; Fixtures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HW</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Computer Hardware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Internal-Use Software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VEH</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Vehicles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Machinery &amp; Equipment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Purchased Intangibles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GW</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Goodwill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CIP</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Construction in Progress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Tax Depreciation</w:t>
      </w:r>
    </w:p>
    <w:p>
      <w:pPr>
        <w:pStyle w:val="Heading2"/>
        <w:spacing w:after="150" w:before="300"/>
      </w:pPr>
      <w:r>
        <w:rPr>
          <w:rFonts w:ascii="Georgia" w:cs="Georgia" w:eastAsia="Georgia" w:hAnsi="Georgia"/>
          <w:b/>
          <w:bCs/>
          <w:color w:val="333333"/>
          <w:sz w:val="26"/>
          <w:szCs w:val="26"/>
        </w:rPr>
        <w:t xml:space="preserve">11.1 Book-Tax Differences</w:t>
      </w:r>
    </w:p>
    <w:p>
      <w:pPr>
        <w:spacing w:after="150" w:before="0"/>
        <w:jc w:val="both"/>
      </w:pPr>
      <w:r>
        <w:rPr>
          <w:rFonts w:ascii="Calibri" w:cs="Calibri" w:eastAsia="Calibri" w:hAnsi="Calibri"/>
          <w:color w:val="333333"/>
          <w:sz w:val="22"/>
          <w:szCs w:val="22"/>
        </w:rPr>
        <w:t xml:space="preserve">[Company Name] shall maintain separate book and tax depreciation records. Common differences include: bonus depreciation (100% or applicable rate for qualifying assets), Section 179 expensing elections, MACRS recovery periods vs. book useful lives, and different conventions (half-year, mid-quarter). The Tax department shall advise on optimal tax depreciation elections for each asset acquisition.</w:t>
      </w:r>
    </w:p>
    <w:p>
      <w:pPr>
        <w:pStyle w:val="Heading2"/>
        <w:spacing w:after="150" w:before="300"/>
      </w:pPr>
      <w:r>
        <w:rPr>
          <w:rFonts w:ascii="Georgia" w:cs="Georgia" w:eastAsia="Georgia" w:hAnsi="Georgia"/>
          <w:b/>
          <w:bCs/>
          <w:color w:val="333333"/>
          <w:sz w:val="26"/>
          <w:szCs w:val="26"/>
        </w:rPr>
        <w:t xml:space="preserve">11.2 Section 179 and Bonus Depreciation</w:t>
      </w:r>
    </w:p>
    <w:p>
      <w:pPr>
        <w:spacing w:after="150" w:before="0"/>
        <w:jc w:val="both"/>
      </w:pPr>
      <w:r>
        <w:rPr>
          <w:rFonts w:ascii="Calibri" w:cs="Calibri" w:eastAsia="Calibri" w:hAnsi="Calibri"/>
          <w:color w:val="333333"/>
          <w:sz w:val="22"/>
          <w:szCs w:val="22"/>
        </w:rPr>
        <w:t xml:space="preserve">Tax shall evaluate each qualifying asset acquisition for Section 179 and bonus depreciation eligibility. The annual Section 179 election is subject to a dollar limitation and phase-out threshold that may change annually. Bonus depreciation rates and qualifying property definitions are subject to legislative changes. Tax shall communicate the current-year rules to the Fixed Asset Accountant and Controller at the beginning of each fiscal year.</w:t>
      </w:r>
    </w:p>
    <w:p>
      <w:pPr>
        <w:pStyle w:val="Heading2"/>
        <w:spacing w:after="150" w:before="300"/>
      </w:pPr>
      <w:r>
        <w:rPr>
          <w:rFonts w:ascii="Georgia" w:cs="Georgia" w:eastAsia="Georgia" w:hAnsi="Georgia"/>
          <w:b/>
          <w:bCs/>
          <w:color w:val="333333"/>
          <w:sz w:val="26"/>
          <w:szCs w:val="26"/>
        </w:rPr>
        <w:t xml:space="preserve">11.3 Tax Fixed Asset Register</w:t>
      </w:r>
    </w:p>
    <w:p>
      <w:pPr>
        <w:spacing w:after="150" w:before="0"/>
        <w:jc w:val="both"/>
      </w:pPr>
      <w:r>
        <w:rPr>
          <w:rFonts w:ascii="Calibri" w:cs="Calibri" w:eastAsia="Calibri" w:hAnsi="Calibri"/>
          <w:color w:val="333333"/>
          <w:sz w:val="22"/>
          <w:szCs w:val="22"/>
        </w:rPr>
        <w:t xml:space="preserve">The tax fixed asset register shall be reconciled to the book fixed asset register quarterly. The reconciliation shall identify all book-tax timing differences and their expected reversal periods. This data feeds the deferred tax asset/liability calculation in the quarterly tax provision.</w:t>
      </w:r>
    </w:p>
    <w:p>
      <w:pPr>
        <w:pStyle w:val="Heading2"/>
        <w:spacing w:after="150" w:before="300"/>
      </w:pPr>
      <w:r>
        <w:rPr>
          <w:rFonts w:ascii="Georgia" w:cs="Georgia" w:eastAsia="Georgia" w:hAnsi="Georgia"/>
          <w:b/>
          <w:bCs/>
          <w:color w:val="333333"/>
          <w:sz w:val="26"/>
          <w:szCs w:val="26"/>
        </w:rPr>
        <w:t xml:space="preserve">11.4 Cost Segregation Studies</w:t>
      </w:r>
    </w:p>
    <w:p>
      <w:pPr>
        <w:spacing w:after="150" w:before="0"/>
        <w:jc w:val="both"/>
      </w:pPr>
      <w:r>
        <w:rPr>
          <w:rFonts w:ascii="Calibri" w:cs="Calibri" w:eastAsia="Calibri" w:hAnsi="Calibri"/>
          <w:color w:val="333333"/>
          <w:sz w:val="22"/>
          <w:szCs w:val="22"/>
        </w:rPr>
        <w:t xml:space="preserve">[Company Name] shall consider cost segregation studies for all building acquisitions or major improvements exceeding [$1 million]. Cost segregation reclassifies building components to shorter MACRS lives (5, 7, or 15 years vs. 27.5 or 39 years), accelerating tax depreciation deductions. The decision to commission a cost segregation study shall be made jointly by Tax and the Controller based on cost-benefit analysis.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Impairment Testing Procedures</w:t>
      </w:r>
    </w:p>
    <w:p>
      <w:pPr>
        <w:pStyle w:val="Heading2"/>
        <w:spacing w:after="150" w:before="300"/>
      </w:pPr>
      <w:r>
        <w:rPr>
          <w:rFonts w:ascii="Georgia" w:cs="Georgia" w:eastAsia="Georgia" w:hAnsi="Georgia"/>
          <w:b/>
          <w:bCs/>
          <w:color w:val="333333"/>
          <w:sz w:val="26"/>
          <w:szCs w:val="26"/>
        </w:rPr>
        <w:t xml:space="preserve">12.1 Triggering Events</w:t>
      </w:r>
    </w:p>
    <w:p>
      <w:pPr>
        <w:spacing w:after="150" w:before="0"/>
        <w:jc w:val="both"/>
      </w:pPr>
      <w:r>
        <w:rPr>
          <w:rFonts w:ascii="Calibri" w:cs="Calibri" w:eastAsia="Calibri" w:hAnsi="Calibri"/>
          <w:color w:val="333333"/>
          <w:sz w:val="22"/>
          <w:szCs w:val="22"/>
        </w:rPr>
        <w:t xml:space="preserve">The Controller shall evaluate the following triggering events at least quarterly to determine whether long-lived asset impairment testing is required: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decrease in the market price of the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adverse change in how the asset is used or its physical condition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adverse change in legal or regulatory factors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Accumulation of costs significantly exceeding the original estimate for asset construction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Operating or cash flow losses associated with the asset or asset group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Expectation that the asset will be sold or disposed of significantly before the end of its useful life</w:t>
      </w:r>
    </w:p>
    <w:p>
      <w:pPr>
        <w:pStyle w:val="Heading2"/>
        <w:spacing w:after="150" w:before="300"/>
      </w:pPr>
      <w:r>
        <w:rPr>
          <w:rFonts w:ascii="Georgia" w:cs="Georgia" w:eastAsia="Georgia" w:hAnsi="Georgia"/>
          <w:b/>
          <w:bCs/>
          <w:color w:val="333333"/>
          <w:sz w:val="26"/>
          <w:szCs w:val="26"/>
        </w:rPr>
        <w:t xml:space="preserve">12.2 Recoverability Test (Step 1)</w:t>
      </w:r>
    </w:p>
    <w:p>
      <w:pPr>
        <w:spacing w:after="150" w:before="0"/>
        <w:jc w:val="both"/>
      </w:pPr>
      <w:r>
        <w:rPr>
          <w:rFonts w:ascii="Calibri" w:cs="Calibri" w:eastAsia="Calibri" w:hAnsi="Calibri"/>
          <w:color w:val="333333"/>
          <w:sz w:val="22"/>
          <w:szCs w:val="22"/>
        </w:rPr>
        <w:t xml:space="preserve">When a triggering event occurs, the undiscounted future cash flows expected from the use and eventual disposition of the asset (or asset group) are compared to the carrying amount. If undiscounted cash flows exceed the carrying amount, no impairment exists. If undiscounted cash flows are less than the carrying amount, proceed to Step 2.</w:t>
      </w:r>
    </w:p>
    <w:p>
      <w:pPr>
        <w:pStyle w:val="Heading2"/>
        <w:spacing w:after="150" w:before="300"/>
      </w:pPr>
      <w:r>
        <w:rPr>
          <w:rFonts w:ascii="Georgia" w:cs="Georgia" w:eastAsia="Georgia" w:hAnsi="Georgia"/>
          <w:b/>
          <w:bCs/>
          <w:color w:val="333333"/>
          <w:sz w:val="26"/>
          <w:szCs w:val="26"/>
        </w:rPr>
        <w:t xml:space="preserve">12.3 Fair Value Measurement (Step 2)</w:t>
      </w:r>
    </w:p>
    <w:p>
      <w:pPr>
        <w:spacing w:after="150" w:before="0"/>
        <w:jc w:val="both"/>
      </w:pPr>
      <w:r>
        <w:rPr>
          <w:rFonts w:ascii="Calibri" w:cs="Calibri" w:eastAsia="Calibri" w:hAnsi="Calibri"/>
          <w:color w:val="333333"/>
          <w:sz w:val="22"/>
          <w:szCs w:val="22"/>
        </w:rPr>
        <w:t xml:space="preserve">If the recoverability test indicates potential impairment, the asset's fair value is determined using ASC 820 fair value hierarchy: Level 1 (quoted prices), Level 2 (observable inputs), or Level 3 (unobservable inputs, typically discounted cash flow models). The impairment loss equals the excess of carrying amount over fair value. The reduced carrying amount becomes the new cost basis; previously recognized impairment losses shall not be reversed.</w:t>
      </w:r>
    </w:p>
    <w:p>
      <w:pPr>
        <w:pStyle w:val="Heading2"/>
        <w:spacing w:after="150" w:before="300"/>
      </w:pPr>
      <w:r>
        <w:rPr>
          <w:rFonts w:ascii="Georgia" w:cs="Georgia" w:eastAsia="Georgia" w:hAnsi="Georgia"/>
          <w:b/>
          <w:bCs/>
          <w:color w:val="333333"/>
          <w:sz w:val="26"/>
          <w:szCs w:val="26"/>
        </w:rPr>
        <w:t xml:space="preserve">12.4 Goodwill Impairment (ASC 350)</w:t>
      </w:r>
    </w:p>
    <w:p>
      <w:pPr>
        <w:spacing w:after="150" w:before="0"/>
        <w:jc w:val="both"/>
      </w:pPr>
      <w:r>
        <w:rPr>
          <w:rFonts w:ascii="Calibri" w:cs="Calibri" w:eastAsia="Calibri" w:hAnsi="Calibri"/>
          <w:color w:val="333333"/>
          <w:sz w:val="22"/>
          <w:szCs w:val="22"/>
        </w:rPr>
        <w:t xml:space="preserve">Goodwill shall be tested for impairment annually as of [date] and whenever triggering events occur. [Company Name] may elect to perform a qualitative assessment (Step 0) before performing the quantitative test. If the qualitative assessment indicates it is more likely than not that the fair value of the reporting unit is less than its carrying amount, a quantitative test is required. The goodwill impairment loss equals the excess of the reporting unit carrying amount over its fair value, limited to the amount of goodwill allocated to that reporting unit.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Fixed Asset &amp; Capitalization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2026-07-13T07:14:41.922Z</dcterms:created>
  <dcterms:modified xsi:type="dcterms:W3CDTF">2026-07-13T07:14:41.936Z</dcterms:modified>
</cp:coreProperties>
</file>

<file path=docProps/custom.xml><?xml version="1.0" encoding="utf-8"?>
<Properties xmlns="http://schemas.openxmlformats.org/officeDocument/2006/custom-properties" xmlns:vt="http://schemas.openxmlformats.org/officeDocument/2006/docPropsVTypes"/>
</file>