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Vendor Management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Vendor Management Policy establishes the standards and procedures for onboarding, evaluating, monitoring, and managing vendor relationships throughout the vendor lifecycle. The policy ensures that [Company Name] engages with vendors who meet quality, financial stability, compliance, and ethical standards while managing the risks associated with third-party relationships.</w:t>
      </w:r>
    </w:p>
    <w:p>
      <w:pPr>
        <w:spacing w:after="150" w:before="0"/>
        <w:jc w:val="both"/>
      </w:pPr>
      <w:r>
        <w:rPr>
          <w:rFonts w:ascii="Calibri" w:cs="Calibri" w:eastAsia="Calibri" w:hAnsi="Calibri"/>
          <w:color w:val="333333"/>
          <w:sz w:val="22"/>
          <w:szCs w:val="22"/>
        </w:rPr>
        <w:t xml:space="preserve">This policy applies to all vendor relationships across [Company Name] and its subsidiaries, including suppliers of goods, service providers, consultants, contractors, software vendors, outsourced service providers, and any other third party providing goods or services to the company.</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consistent vendor onboarding procedures including due diligence and risk assessment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 qualified vendor list that meets quality, compliance, and ethical standards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Monitor vendor performance against contractual obligations and service levels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vendor risk including financial, operational, cybersecurity, and compliance risk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fraud through vendor master file controls and periodic audits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compliance with tax reporting requirements (W-9, 1099) for all applicable vendors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Vendor List (AVL)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maintained list of vendors who have completed onboarding and are authorized for use.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Vendor Risk Tier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Classification of vendors by risk level (Tier 1 Critical, Tier 2 Important, Tier 3 Standard) based on business impact, data access, and spend.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Vendor Scorecard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periodic evaluation of vendor performance against defined metrics and SLAs.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Vendor Master File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database of vendor records in the ERP system containing contact, banking, tax, and commercial information.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Due Diligence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investigation and evaluation process conducted before engaging a new vendor or renewing a significant relationship.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Subcontractor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vendor engaged by a primary vendor to perform part of the contracted work.</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Critical Vendor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vendor whose failure or underperformance would materially disrupt company operations or financial reporting.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Continuity Plan (Vendor)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vendor's documented plan for maintaining service delivery during disruptions.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Vendor Onboarding</w:t>
      </w:r>
    </w:p>
    <w:p>
      <w:pPr>
        <w:spacing w:after="150" w:before="0"/>
        <w:jc w:val="both"/>
      </w:pPr>
      <w:r>
        <w:rPr>
          <w:rFonts w:ascii="Calibri" w:cs="Calibri" w:eastAsia="Calibri" w:hAnsi="Calibri"/>
          <w:color w:val="333333"/>
          <w:sz w:val="22"/>
          <w:szCs w:val="22"/>
        </w:rPr>
        <w:t xml:space="preserve">All new vendors must complete the onboarding process before any purchase order is issued or payment made. Onboarding includes: vendor application, W-9/W-8 collection and TIN validation, risk tier assessment, due diligence appropriate to the risk tier, bank detail verification, and vendor master record creation with segregated approval.</w:t>
      </w:r>
    </w:p>
    <w:p>
      <w:pPr>
        <w:pStyle w:val="Heading2"/>
        <w:spacing w:after="150" w:before="300"/>
      </w:pPr>
      <w:r>
        <w:rPr>
          <w:rFonts w:ascii="Georgia" w:cs="Georgia" w:eastAsia="Georgia" w:hAnsi="Georgia"/>
          <w:b/>
          <w:bCs/>
          <w:color w:val="333333"/>
          <w:sz w:val="26"/>
          <w:szCs w:val="26"/>
        </w:rPr>
        <w:t xml:space="preserve">3.2 Vendor Risk Tiering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Risk Tier</w:t>
            </w:r>
          </w:p>
        </w:tc>
        <w:tc>
          <w:tcPr>
            <w:tcW w:type="dxa" w:w="6160"/>
            <w:shd w:fill="0C0C0C" w:val="clear"/>
          </w:tcPr>
          <w:p>
            <w:pPr>
              <w:spacing w:after="60" w:before="60"/>
            </w:pPr>
            <w:r>
              <w:rPr>
                <w:rFonts w:ascii="Calibri" w:cs="Calibri" w:eastAsia="Calibri" w:hAnsi="Calibri"/>
                <w:b/>
                <w:bCs/>
                <w:color w:val="D4AF37"/>
                <w:sz w:val="20"/>
                <w:szCs w:val="20"/>
              </w:rPr>
              <w:t xml:space="preserve">Criteria</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Tier 1 — Critical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Annual spend &gt; $500K, OR access to company systems/data, OR single-source dependency, OR regulatory service provider (auditor, tax, legal)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Tier 2 — Important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Annual spend $50K–$500K, OR access to confidential information, OR difficult to replace within 30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Tier 3 — Standard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Annual spend &lt; $50K, no system access, no confidential data, readily replaceable</w:t>
            </w:r>
          </w:p>
        </w:tc>
      </w:tr>
    </w:tbl>
    <w:p>
      <w:pPr>
        <w:pStyle w:val="Heading2"/>
        <w:spacing w:after="150" w:before="300"/>
      </w:pPr>
      <w:r>
        <w:rPr>
          <w:rFonts w:ascii="Georgia" w:cs="Georgia" w:eastAsia="Georgia" w:hAnsi="Georgia"/>
          <w:b/>
          <w:bCs/>
          <w:color w:val="333333"/>
          <w:sz w:val="26"/>
          <w:szCs w:val="26"/>
        </w:rPr>
        <w:t xml:space="preserve">3.3 Due Diligence Requirements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Requirement</w:t>
            </w:r>
          </w:p>
        </w:tc>
        <w:tc>
          <w:tcPr>
            <w:tcW w:type="dxa" w:w="2400"/>
            <w:shd w:fill="0C0C0C" w:val="clear"/>
          </w:tcPr>
          <w:p>
            <w:pPr>
              <w:spacing w:after="60" w:before="60"/>
            </w:pPr>
            <w:r>
              <w:rPr>
                <w:rFonts w:ascii="Calibri" w:cs="Calibri" w:eastAsia="Calibri" w:hAnsi="Calibri"/>
                <w:b/>
                <w:bCs/>
                <w:color w:val="D4AF37"/>
                <w:sz w:val="20"/>
                <w:szCs w:val="20"/>
              </w:rPr>
              <w:t xml:space="preserve">Tier 1</w:t>
            </w:r>
          </w:p>
        </w:tc>
        <w:tc>
          <w:tcPr>
            <w:tcW w:type="dxa" w:w="4560"/>
            <w:shd w:fill="0C0C0C" w:val="clear"/>
          </w:tcPr>
          <w:p>
            <w:pPr>
              <w:spacing w:after="60" w:before="60"/>
            </w:pPr>
            <w:r>
              <w:rPr>
                <w:rFonts w:ascii="Calibri" w:cs="Calibri" w:eastAsia="Calibri" w:hAnsi="Calibri"/>
                <w:b/>
                <w:bCs/>
                <w:color w:val="D4AF37"/>
                <w:sz w:val="20"/>
                <w:szCs w:val="20"/>
              </w:rPr>
              <w:t xml:space="preserve">Tier 2</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Financial stability review</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Required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Recommended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Credit report / D&amp;B rating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Required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Required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Insurance verification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Required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Required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Cybersecurity assessment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Required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If data access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SOC report review</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Required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If system access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Reference checks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Required (3+)</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Required (2+)</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Background checks (key personnel)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Required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Optional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On-site visit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Recommended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Optional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Business continuity plan review</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Required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Recommended</w:t>
            </w:r>
          </w:p>
        </w:tc>
      </w:tr>
    </w:tbl>
    <w:p>
      <w:pPr>
        <w:pStyle w:val="Heading2"/>
        <w:spacing w:after="150" w:before="300"/>
      </w:pPr>
      <w:r>
        <w:rPr>
          <w:rFonts w:ascii="Georgia" w:cs="Georgia" w:eastAsia="Georgia" w:hAnsi="Georgia"/>
          <w:b/>
          <w:bCs/>
          <w:color w:val="333333"/>
          <w:sz w:val="26"/>
          <w:szCs w:val="26"/>
        </w:rPr>
        <w:t xml:space="preserve">3.4 Vendor Master File Controls</w:t>
      </w:r>
    </w:p>
    <w:p>
      <w:pPr>
        <w:spacing w:after="150" w:before="0"/>
        <w:jc w:val="both"/>
      </w:pPr>
      <w:r>
        <w:rPr>
          <w:rFonts w:ascii="Calibri" w:cs="Calibri" w:eastAsia="Calibri" w:hAnsi="Calibri"/>
          <w:color w:val="333333"/>
          <w:sz w:val="22"/>
          <w:szCs w:val="22"/>
        </w:rPr>
        <w:t xml:space="preserve">The vendor master file is a critical financial control point. The following controls shall be maintained: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creation and vendor payment processing performed by different individuals (SOD)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new vendor setups require documented approval by the AP Manager or Controller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Bank detail changes require dual approval plus out-of-band verification via callback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the vendor master for duplicates, inactive vendors, and suspicious entries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audit comparing vendor addresses to employee addresses to detect fictitious vendor fraud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this policy. Approves Tier 1 vendor relationships. Reviews vendor concentration risk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Procurement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vendor onboarding. Maintains the approved vendor list. Conducts vendor evaluations. Sources alternative vendors.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vendor master file. Processes vendor setup requests. Ensures SOD compliance in vendor management.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Approves vendor master changes above threshold. Reviews vendor risk assessment results. Ensures 1099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 / CISO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Conducts cybersecurity assessments for vendors with system or data access. Reviews vendor SOC reports. Monitors vendor security posture.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vendor contracts. Advises on liability, indemnification, and insurance requirements. Manages vendor disputes.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Department Managers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Submit vendor onboarding requests. Monitor vendor performance in their area. Escalate vendor issues.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Audits vendor master file integrity. Tests onboarding compliance. Reviews vendor risk management effectiveness.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Vendor Onboarding</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Requesting department submits Vendor Onboarding Request form with business justification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Procurement assigns risk tier based on criteria in Section 3.2</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Vendor completes the vendor application and provides: W-9/W-8, insurance certificates, bank details, and references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Procurement conducts due diligence appropriate to the risk tier per Section 3.3</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TIN is validated against IRS records using TIN matching service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Bank details are verified via independent callback (not using contact info from the vendor application)</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AP Specialist creates the vendor master record; AP Manager or Controller approves the setup</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Vendor is added to the Approved Vendor List with the assigned risk tier</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For Tier 1 vendors, a vendor relationship manager is assigned from the requesting department</w:t>
      </w:r>
    </w:p>
    <w:p>
      <w:pPr>
        <w:pStyle w:val="Heading2"/>
        <w:spacing w:after="150" w:before="300"/>
      </w:pPr>
      <w:r>
        <w:rPr>
          <w:rFonts w:ascii="Georgia" w:cs="Georgia" w:eastAsia="Georgia" w:hAnsi="Georgia"/>
          <w:b/>
          <w:bCs/>
          <w:color w:val="333333"/>
          <w:sz w:val="26"/>
          <w:szCs w:val="26"/>
        </w:rPr>
        <w:t xml:space="preserve">5.2 Vendor Performance Monitoring</w:t>
      </w:r>
    </w:p>
    <w:p>
      <w:pPr>
        <w:pStyle w:val="Heading3"/>
        <w:spacing w:after="100" w:before="200"/>
      </w:pPr>
      <w:r>
        <w:rPr>
          <w:rFonts w:ascii="Georgia" w:cs="Georgia" w:eastAsia="Georgia" w:hAnsi="Georgia"/>
          <w:b/>
          <w:bCs/>
          <w:color w:val="444444"/>
          <w:sz w:val="22"/>
          <w:szCs w:val="22"/>
        </w:rPr>
        <w:t xml:space="preserve">5.2.1 Vendor Scorecard</w:t>
      </w:r>
    </w:p>
    <w:p>
      <w:pPr>
        <w:spacing w:after="150" w:before="0"/>
        <w:jc w:val="both"/>
      </w:pPr>
      <w:r>
        <w:rPr>
          <w:rFonts w:ascii="Calibri" w:cs="Calibri" w:eastAsia="Calibri" w:hAnsi="Calibri"/>
          <w:color w:val="333333"/>
          <w:sz w:val="22"/>
          <w:szCs w:val="22"/>
        </w:rPr>
        <w:t xml:space="preserve">Tier 1 and Tier 2 vendors shall be evaluated using a quarterly vendor scorecard covering: quality (defect rate, error rate), delivery (on-time delivery percentage), responsiveness (issue resolution time), cost (price competitiveness, unexpected charges), and compliance (insurance currency, SOC report findings, regulatory compliance).</w:t>
      </w:r>
    </w:p>
    <w:p>
      <w:pPr>
        <w:pStyle w:val="Heading3"/>
        <w:spacing w:after="100" w:before="200"/>
      </w:pPr>
      <w:r>
        <w:rPr>
          <w:rFonts w:ascii="Georgia" w:cs="Georgia" w:eastAsia="Georgia" w:hAnsi="Georgia"/>
          <w:b/>
          <w:bCs/>
          <w:color w:val="444444"/>
          <w:sz w:val="22"/>
          <w:szCs w:val="22"/>
        </w:rPr>
        <w:t xml:space="preserve">5.2.2 Annual Vendor Review</w:t>
      </w:r>
    </w:p>
    <w:p>
      <w:pPr>
        <w:spacing w:after="150" w:before="0"/>
        <w:jc w:val="both"/>
      </w:pPr>
      <w:r>
        <w:rPr>
          <w:rFonts w:ascii="Calibri" w:cs="Calibri" w:eastAsia="Calibri" w:hAnsi="Calibri"/>
          <w:color w:val="333333"/>
          <w:sz w:val="22"/>
          <w:szCs w:val="22"/>
        </w:rPr>
        <w:t xml:space="preserve">An annual comprehensive review shall be conducted for all Tier 1 vendors and a sample of Tier 2 vendors. The review includes: scorecard trend analysis, financial stability reassessment, contract terms review, market comparison, and relationship health assessment. Results inform contract renewal, renegotiation, or replacement decisions.</w:t>
      </w:r>
    </w:p>
    <w:p>
      <w:pPr>
        <w:pStyle w:val="Heading3"/>
        <w:spacing w:after="100" w:before="200"/>
      </w:pPr>
      <w:r>
        <w:rPr>
          <w:rFonts w:ascii="Georgia" w:cs="Georgia" w:eastAsia="Georgia" w:hAnsi="Georgia"/>
          <w:b/>
          <w:bCs/>
          <w:color w:val="444444"/>
          <w:sz w:val="22"/>
          <w:szCs w:val="22"/>
        </w:rPr>
        <w:t xml:space="preserve">5.2.3 Vendor Corrective Action</w:t>
      </w:r>
    </w:p>
    <w:p>
      <w:pPr>
        <w:spacing w:after="150" w:before="0"/>
        <w:jc w:val="both"/>
      </w:pPr>
      <w:r>
        <w:rPr>
          <w:rFonts w:ascii="Calibri" w:cs="Calibri" w:eastAsia="Calibri" w:hAnsi="Calibri"/>
          <w:color w:val="333333"/>
          <w:sz w:val="22"/>
          <w:szCs w:val="22"/>
        </w:rPr>
        <w:t xml:space="preserve">When vendor performance falls below acceptable thresholds: issue a formal corrective action request with specific deficiencies and expected remediation timeline, monitor improvement against the corrective action plan, escalate to contract remedies (penalties, credits) if improvement is insufficient, and initiate vendor replacement sourcing if corrective action fails.</w:t>
      </w:r>
    </w:p>
    <w:p>
      <w:pPr>
        <w:pStyle w:val="Heading2"/>
        <w:spacing w:after="150" w:before="300"/>
      </w:pPr>
      <w:r>
        <w:rPr>
          <w:rFonts w:ascii="Georgia" w:cs="Georgia" w:eastAsia="Georgia" w:hAnsi="Georgia"/>
          <w:b/>
          <w:bCs/>
          <w:color w:val="333333"/>
          <w:sz w:val="26"/>
          <w:szCs w:val="26"/>
        </w:rPr>
        <w:t xml:space="preserve">5.3 Vendor Risk Management</w:t>
      </w:r>
    </w:p>
    <w:p>
      <w:pPr>
        <w:pStyle w:val="Heading3"/>
        <w:spacing w:after="100" w:before="200"/>
      </w:pPr>
      <w:r>
        <w:rPr>
          <w:rFonts w:ascii="Georgia" w:cs="Georgia" w:eastAsia="Georgia" w:hAnsi="Georgia"/>
          <w:b/>
          <w:bCs/>
          <w:color w:val="444444"/>
          <w:sz w:val="22"/>
          <w:szCs w:val="22"/>
        </w:rPr>
        <w:t xml:space="preserve">5.3.1 Ongoing Risk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Continuous monitoring of Tier 1 vendor cybersecurity posture using monitoring tools (BitSight, SecurityScorecard)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SOC report review for vendors with system access or data processing responsibilities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financial health monitoring for Tier 1 vendors using D&amp;B or similar services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insurance certificate renewal verification for all vendors with insurance requirements</w:t>
      </w:r>
    </w:p>
    <w:p>
      <w:pPr>
        <w:pStyle w:val="Heading3"/>
        <w:spacing w:after="100" w:before="200"/>
      </w:pPr>
      <w:r>
        <w:rPr>
          <w:rFonts w:ascii="Georgia" w:cs="Georgia" w:eastAsia="Georgia" w:hAnsi="Georgia"/>
          <w:b/>
          <w:bCs/>
          <w:color w:val="444444"/>
          <w:sz w:val="22"/>
          <w:szCs w:val="22"/>
        </w:rPr>
        <w:t xml:space="preserve">5.3.2 Vendor Contingency Planning</w:t>
      </w:r>
    </w:p>
    <w:p>
      <w:pPr>
        <w:spacing w:after="150" w:before="0"/>
        <w:jc w:val="both"/>
      </w:pPr>
      <w:r>
        <w:rPr>
          <w:rFonts w:ascii="Calibri" w:cs="Calibri" w:eastAsia="Calibri" w:hAnsi="Calibri"/>
          <w:color w:val="333333"/>
          <w:sz w:val="22"/>
          <w:szCs w:val="22"/>
        </w:rPr>
        <w:t xml:space="preserve">For each Tier 1 vendor, [Company Name] shall maintain: an identified alternative vendor or insourcing capability, a transition plan with estimated timeline and cost, data extraction and portability procedures, and key contact information for emergency escalation. Contingency plans shall be reviewed annually and tested where practical.</w:t>
      </w:r>
    </w:p>
    <w:p>
      <w:pPr>
        <w:pStyle w:val="Heading2"/>
        <w:spacing w:after="150" w:before="300"/>
      </w:pPr>
      <w:r>
        <w:rPr>
          <w:rFonts w:ascii="Georgia" w:cs="Georgia" w:eastAsia="Georgia" w:hAnsi="Georgia"/>
          <w:b/>
          <w:bCs/>
          <w:color w:val="333333"/>
          <w:sz w:val="26"/>
          <w:szCs w:val="26"/>
        </w:rPr>
        <w:t xml:space="preserve">5.4 Vendor Offboarding</w:t>
      </w:r>
    </w:p>
    <w:p>
      <w:pPr>
        <w:spacing w:after="150" w:before="0"/>
        <w:jc w:val="both"/>
      </w:pPr>
      <w:r>
        <w:rPr>
          <w:rFonts w:ascii="Calibri" w:cs="Calibri" w:eastAsia="Calibri" w:hAnsi="Calibri"/>
          <w:color w:val="333333"/>
          <w:sz w:val="22"/>
          <w:szCs w:val="22"/>
        </w:rPr>
        <w:t xml:space="preserve">When a vendor relationship is terminated, the following steps shall be completed: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Formal termination notice per contract terms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Data return or destruction confirmation (for vendors with data access)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System access revocation within [24] hours of termination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Outstanding invoice settlement and final payment processing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Return of company property, badges, or access credentials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master record marked as inactive (retain for 1099 and historical reporting)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Post-termination review to document lessons learned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Activity</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Tier 3 vendor onboarding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AP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Tier 2 vendor onboarding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Procurement Manager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Tier 1 vendor onboarding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Vendor master creation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AP Specialist creates, AP Manager approves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Vendor bank detail change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Dual approval + callback verification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Vendor deactivation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AP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Contract termination (material)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Sole source vendor designation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pStyle w:val="Heading2"/>
        <w:spacing w:after="150" w:before="300"/>
      </w:pPr>
      <w:r>
        <w:rPr>
          <w:rFonts w:ascii="Georgia" w:cs="Georgia" w:eastAsia="Georgia" w:hAnsi="Georgia"/>
          <w:b/>
          <w:bCs/>
          <w:color w:val="333333"/>
          <w:sz w:val="26"/>
          <w:szCs w:val="26"/>
        </w:rPr>
        <w:t xml:space="preserve">7.1 Emergency Vendor Engagement</w:t>
      </w:r>
    </w:p>
    <w:p>
      <w:pPr>
        <w:spacing w:after="150" w:before="0"/>
        <w:jc w:val="both"/>
      </w:pPr>
      <w:r>
        <w:rPr>
          <w:rFonts w:ascii="Calibri" w:cs="Calibri" w:eastAsia="Calibri" w:hAnsi="Calibri"/>
          <w:color w:val="333333"/>
          <w:sz w:val="22"/>
          <w:szCs w:val="22"/>
        </w:rPr>
        <w:t xml:space="preserve">In emergency situations, a vendor may be engaged before completing full onboarding. Emergency engagement requires: VP-level verbal approval, W-9 collection before first payment, and completion of full onboarding within [10] business days. Emergency engagements shall be tracked and reported to the Controller monthly.</w:t>
      </w:r>
    </w:p>
    <w:p>
      <w:pPr>
        <w:pStyle w:val="Heading2"/>
        <w:spacing w:after="150" w:before="300"/>
      </w:pPr>
      <w:r>
        <w:rPr>
          <w:rFonts w:ascii="Georgia" w:cs="Georgia" w:eastAsia="Georgia" w:hAnsi="Georgia"/>
          <w:b/>
          <w:bCs/>
          <w:color w:val="333333"/>
          <w:sz w:val="26"/>
          <w:szCs w:val="26"/>
        </w:rPr>
        <w:t xml:space="preserve">7.2 Escalation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AP Specialist — vendor setup, data issues, routine inquiries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AP Manager / Procurement — onboarding decisions, performance issues, risk concerns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Controller — material vendor changes, SOD exceptions, compliance issues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CFO — Tier 1 vendor issues, strategic relationship decisions, material risk acceptance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review of new vendor setups for onboarding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vendor master file audit for duplicates, inactive vendors, and suspicious entries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vendor scorecard review for Tier 1 vendors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vendor address-to-employee address comparison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1099 readiness review (W-9 completeness, reportability classification)</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Vendor onboarding compliance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for Tier 1 and Tier 2</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Vendor master duplicate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1%</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W-9 completeness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for US vendors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Tier 1 vendor scorecard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quarterly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Average onboarding cycle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 business days (Tier 3), &lt; 15 business days (Tier 1)</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Procurement &amp; Purchasing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Third-Party Risk Management Policy (TPRM)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Cybersecurity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Anti-Corruption and Anti-Bribery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Conflict of Interest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Data Privacy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Vendor Onboarding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Onboarding Request form received with business justification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Risk tier assigned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application completed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W-9 or W-8BEN collected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TIN validated against IRS records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Bank details collected via secure channel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Bank details verified via independent callback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Credit report / D&amp;B rating reviewed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certificates collected and verified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Cybersecurity assessment completed (if Tier 1 or data access)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SOC report reviewed (if system access)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References checked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Contract executed (if applicable)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master record created with dual approval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added to Approved Vendor List</w:t>
      </w:r>
    </w:p>
    <w:p>
      <w:pPr>
        <w:pStyle w:val="Heading2"/>
        <w:spacing w:after="150" w:before="300"/>
      </w:pPr>
      <w:r>
        <w:rPr>
          <w:rFonts w:ascii="Georgia" w:cs="Georgia" w:eastAsia="Georgia" w:hAnsi="Georgia"/>
          <w:b/>
          <w:bCs/>
          <w:color w:val="333333"/>
          <w:sz w:val="26"/>
          <w:szCs w:val="26"/>
        </w:rPr>
        <w:t xml:space="preserve">Appendix B — Vendor Scorecard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Category</w:t>
            </w:r>
          </w:p>
        </w:tc>
        <w:tc>
          <w:tcPr>
            <w:tcW w:type="dxa" w:w="2400"/>
            <w:shd w:fill="0C0C0C" w:val="clear"/>
          </w:tcPr>
          <w:p>
            <w:pPr>
              <w:spacing w:after="60" w:before="60"/>
            </w:pPr>
            <w:r>
              <w:rPr>
                <w:rFonts w:ascii="Calibri" w:cs="Calibri" w:eastAsia="Calibri" w:hAnsi="Calibri"/>
                <w:b/>
                <w:bCs/>
                <w:color w:val="D4AF37"/>
                <w:sz w:val="20"/>
                <w:szCs w:val="20"/>
              </w:rPr>
              <w:t xml:space="preserve">Metric</w:t>
            </w:r>
          </w:p>
        </w:tc>
        <w:tc>
          <w:tcPr>
            <w:tcW w:type="dxa" w:w="4560"/>
            <w:shd w:fill="0C0C0C" w:val="clear"/>
          </w:tcPr>
          <w:p>
            <w:pPr>
              <w:spacing w:after="60" w:before="60"/>
            </w:pPr>
            <w:r>
              <w:rPr>
                <w:rFonts w:ascii="Calibri" w:cs="Calibri" w:eastAsia="Calibri" w:hAnsi="Calibri"/>
                <w:b/>
                <w:bCs/>
                <w:color w:val="D4AF37"/>
                <w:sz w:val="20"/>
                <w:szCs w:val="20"/>
              </w:rPr>
              <w:t xml:space="preserve">Score (1-5)</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Quality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Defect/error rate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Quality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Specification compliance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Delivery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On-time delivery %</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Delivery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Lead time accuracy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Responsiveness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Issue resolution time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Responsiveness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Communication quality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Cost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Price vs. market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Cost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Invoice accuracy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Compliance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Insurance currency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Compliance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Regulatory compliance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Overall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Composite score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Vendor Performance Management</w:t>
      </w:r>
    </w:p>
    <w:p>
      <w:pPr>
        <w:pStyle w:val="Heading2"/>
        <w:spacing w:after="150" w:before="300"/>
      </w:pPr>
      <w:r>
        <w:rPr>
          <w:rFonts w:ascii="Georgia" w:cs="Georgia" w:eastAsia="Georgia" w:hAnsi="Georgia"/>
          <w:b/>
          <w:bCs/>
          <w:color w:val="333333"/>
          <w:sz w:val="26"/>
          <w:szCs w:val="26"/>
        </w:rPr>
        <w:t xml:space="preserve">11.1 Vendor Scorecard Framework</w:t>
      </w:r>
    </w:p>
    <w:p>
      <w:pPr>
        <w:spacing w:after="150" w:before="0"/>
        <w:jc w:val="both"/>
      </w:pPr>
      <w:r>
        <w:rPr>
          <w:rFonts w:ascii="Calibri" w:cs="Calibri" w:eastAsia="Calibri" w:hAnsi="Calibri"/>
          <w:color w:val="333333"/>
          <w:sz w:val="22"/>
          <w:szCs w:val="22"/>
        </w:rPr>
        <w:t xml:space="preserve">[Company Name] shall evaluate strategic vendors using a balanced scorecard covering four dimensions:</w:t>
      </w:r>
    </w:p>
    <w:p>
      <w:pPr>
        <w:pStyle w:val="Heading3"/>
        <w:spacing w:after="100" w:before="200"/>
      </w:pPr>
      <w:r>
        <w:rPr>
          <w:rFonts w:ascii="Georgia" w:cs="Georgia" w:eastAsia="Georgia" w:hAnsi="Georgia"/>
          <w:b/>
          <w:bCs/>
          <w:color w:val="444444"/>
          <w:sz w:val="22"/>
          <w:szCs w:val="22"/>
        </w:rPr>
        <w:t xml:space="preserve">Quality (30% weight)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Defect or error rate in deliverables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First-pass acceptance rate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Compliance with specifications and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Customer satisfaction scores (if vendor is customer-facing)</w:t>
      </w:r>
    </w:p>
    <w:p>
      <w:pPr>
        <w:pStyle w:val="Heading3"/>
        <w:spacing w:after="100" w:before="200"/>
      </w:pPr>
      <w:r>
        <w:rPr>
          <w:rFonts w:ascii="Georgia" w:cs="Georgia" w:eastAsia="Georgia" w:hAnsi="Georgia"/>
          <w:b/>
          <w:bCs/>
          <w:color w:val="444444"/>
          <w:sz w:val="22"/>
          <w:szCs w:val="22"/>
        </w:rPr>
        <w:t xml:space="preserve">Delivery (25% weight)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On-time delivery or milestone completion rate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Lead time consistency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Emergency response capability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Capacity availability when needed</w:t>
      </w:r>
    </w:p>
    <w:p>
      <w:pPr>
        <w:pStyle w:val="Heading3"/>
        <w:spacing w:after="100" w:before="200"/>
      </w:pPr>
      <w:r>
        <w:rPr>
          <w:rFonts w:ascii="Georgia" w:cs="Georgia" w:eastAsia="Georgia" w:hAnsi="Georgia"/>
          <w:b/>
          <w:bCs/>
          <w:color w:val="444444"/>
          <w:sz w:val="22"/>
          <w:szCs w:val="22"/>
        </w:rPr>
        <w:t xml:space="preserve">Commercial (25% weight)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Invoice accuracy rate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Pricing competitiveness vs. market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Cost reduction contributions (year-over-year)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Payment term compliance</w:t>
      </w:r>
    </w:p>
    <w:p>
      <w:pPr>
        <w:pStyle w:val="Heading3"/>
        <w:spacing w:after="100" w:before="200"/>
      </w:pPr>
      <w:r>
        <w:rPr>
          <w:rFonts w:ascii="Georgia" w:cs="Georgia" w:eastAsia="Georgia" w:hAnsi="Georgia"/>
          <w:b/>
          <w:bCs/>
          <w:color w:val="444444"/>
          <w:sz w:val="22"/>
          <w:szCs w:val="22"/>
        </w:rPr>
        <w:t xml:space="preserve">Relationship (20% weight)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Responsiveness to issues and inquiries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Proactive communication and escalation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Innovation and continuous improvement suggestions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Executive-level engagement and strategic alignment</w:t>
      </w:r>
    </w:p>
    <w:p>
      <w:pPr>
        <w:spacing w:after="150" w:before="0"/>
        <w:jc w:val="both"/>
      </w:pPr>
      <w:r>
        <w:rPr>
          <w:rFonts w:ascii="Calibri" w:cs="Calibri" w:eastAsia="Calibri" w:hAnsi="Calibri"/>
          <w:color w:val="333333"/>
          <w:sz w:val="22"/>
          <w:szCs w:val="22"/>
        </w:rPr>
        <w:t xml:space="preserve">Vendors scoring below [60%] on the scorecard shall be placed on a performance improvement plan with a [90]-day remediation period. Vendors failing to improve shall be transitioned to an alternative supplier.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Vendor Risk Categories and Controls</w:t>
      </w:r>
    </w:p>
    <w:p>
      <w:pPr>
        <w:pStyle w:val="Heading2"/>
        <w:spacing w:after="150" w:before="300"/>
      </w:pPr>
      <w:r>
        <w:rPr>
          <w:rFonts w:ascii="Georgia" w:cs="Georgia" w:eastAsia="Georgia" w:hAnsi="Georgia"/>
          <w:b/>
          <w:bCs/>
          <w:color w:val="333333"/>
          <w:sz w:val="26"/>
          <w:szCs w:val="26"/>
        </w:rPr>
        <w:t xml:space="preserve">12.1 Data Processing Vendors</w:t>
      </w:r>
    </w:p>
    <w:p>
      <w:pPr>
        <w:spacing w:after="150" w:before="0"/>
        <w:jc w:val="both"/>
      </w:pPr>
      <w:r>
        <w:rPr>
          <w:rFonts w:ascii="Calibri" w:cs="Calibri" w:eastAsia="Calibri" w:hAnsi="Calibri"/>
          <w:color w:val="333333"/>
          <w:sz w:val="22"/>
          <w:szCs w:val="22"/>
        </w:rPr>
        <w:t xml:space="preserve">Vendors processing [Company Name]'s data (cloud providers, SaaS platforms, outsourced processing) require enhanced controls including: Data Processing Agreement (DPA) per GDPR/CCPA requirements, annual SOC 2 Type II report review, data encryption requirements (at rest and in transit), data residency and cross-border transfer controls, breach notification obligations (within [72] hours), data return and destruction procedures on contract termination, and right to audit provisions.</w:t>
      </w:r>
    </w:p>
    <w:p>
      <w:pPr>
        <w:pStyle w:val="Heading2"/>
        <w:spacing w:after="150" w:before="300"/>
      </w:pPr>
      <w:r>
        <w:rPr>
          <w:rFonts w:ascii="Georgia" w:cs="Georgia" w:eastAsia="Georgia" w:hAnsi="Georgia"/>
          <w:b/>
          <w:bCs/>
          <w:color w:val="333333"/>
          <w:sz w:val="26"/>
          <w:szCs w:val="26"/>
        </w:rPr>
        <w:t xml:space="preserve">12.2 Financially Critical Vendors</w:t>
      </w:r>
    </w:p>
    <w:p>
      <w:pPr>
        <w:spacing w:after="150" w:before="0"/>
        <w:jc w:val="both"/>
      </w:pPr>
      <w:r>
        <w:rPr>
          <w:rFonts w:ascii="Calibri" w:cs="Calibri" w:eastAsia="Calibri" w:hAnsi="Calibri"/>
          <w:color w:val="333333"/>
          <w:sz w:val="22"/>
          <w:szCs w:val="22"/>
        </w:rPr>
        <w:t xml:space="preserve">Vendors whose services are critical to [Company Name]'s operations (revenue generation, financial reporting, customer service) require: ongoing financial viability monitoring, business continuity and disaster recovery plan review, escrow arrangements for critical software or IP, pre-identified alternative suppliers, and transition planning documentation updated annually.</w:t>
      </w:r>
    </w:p>
    <w:p>
      <w:pPr>
        <w:pStyle w:val="Heading2"/>
        <w:spacing w:after="150" w:before="300"/>
      </w:pPr>
      <w:r>
        <w:rPr>
          <w:rFonts w:ascii="Georgia" w:cs="Georgia" w:eastAsia="Georgia" w:hAnsi="Georgia"/>
          <w:b/>
          <w:bCs/>
          <w:color w:val="333333"/>
          <w:sz w:val="26"/>
          <w:szCs w:val="26"/>
        </w:rPr>
        <w:t xml:space="preserve">12.3 High-Spend Vendors</w:t>
      </w:r>
    </w:p>
    <w:p>
      <w:pPr>
        <w:spacing w:after="150" w:before="0"/>
        <w:jc w:val="both"/>
      </w:pPr>
      <w:r>
        <w:rPr>
          <w:rFonts w:ascii="Calibri" w:cs="Calibri" w:eastAsia="Calibri" w:hAnsi="Calibri"/>
          <w:color w:val="333333"/>
          <w:sz w:val="22"/>
          <w:szCs w:val="22"/>
        </w:rPr>
        <w:t xml:space="preserve">Vendors in the top [20] by annual spend shall receive: dedicated relationship management, quarterly business reviews, annual contract benchmarking, strategic alignment discussions, and innovation partnership opportunities. High-spend vendor relationships shall be owned by a named Procurement category manager or business stakeholder.</w:t>
      </w:r>
    </w:p>
    <w:p>
      <w:pPr>
        <w:pStyle w:val="Heading2"/>
        <w:spacing w:after="150" w:before="300"/>
      </w:pPr>
      <w:r>
        <w:rPr>
          <w:rFonts w:ascii="Georgia" w:cs="Georgia" w:eastAsia="Georgia" w:hAnsi="Georgia"/>
          <w:b/>
          <w:bCs/>
          <w:color w:val="333333"/>
          <w:sz w:val="26"/>
          <w:szCs w:val="26"/>
        </w:rPr>
        <w:t xml:space="preserve">12.4 Subcontractor Management</w:t>
      </w:r>
    </w:p>
    <w:p>
      <w:pPr>
        <w:spacing w:after="150" w:before="0"/>
        <w:jc w:val="both"/>
      </w:pPr>
      <w:r>
        <w:rPr>
          <w:rFonts w:ascii="Calibri" w:cs="Calibri" w:eastAsia="Calibri" w:hAnsi="Calibri"/>
          <w:color w:val="333333"/>
          <w:sz w:val="22"/>
          <w:szCs w:val="22"/>
        </w:rPr>
        <w:t xml:space="preserve">When vendors engage subcontractors to deliver services to [Company Name], the following requirements apply: [Company Name] must be notified before subcontractor engagement, subcontractors must meet the same security, compliance, and quality standards as the primary vendor, the primary vendor remains fully liable for subcontractor performance, and [Company Name] retains the right to approve or reject subcontractors for sensitive engagements.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13. Vendor Lifecycle Governance</w:t>
      </w:r>
    </w:p>
    <w:p>
      <w:pPr>
        <w:pStyle w:val="Heading2"/>
        <w:spacing w:after="150" w:before="300"/>
      </w:pPr>
      <w:r>
        <w:rPr>
          <w:rFonts w:ascii="Georgia" w:cs="Georgia" w:eastAsia="Georgia" w:hAnsi="Georgia"/>
          <w:b/>
          <w:bCs/>
          <w:color w:val="333333"/>
          <w:sz w:val="26"/>
          <w:szCs w:val="26"/>
        </w:rPr>
        <w:t xml:space="preserve">13.1 Vendor Rationalization</w:t>
      </w:r>
    </w:p>
    <w:p>
      <w:pPr>
        <w:spacing w:after="150" w:before="0"/>
        <w:jc w:val="both"/>
      </w:pPr>
      <w:r>
        <w:rPr>
          <w:rFonts w:ascii="Calibri" w:cs="Calibri" w:eastAsia="Calibri" w:hAnsi="Calibri"/>
          <w:color w:val="333333"/>
          <w:sz w:val="22"/>
          <w:szCs w:val="22"/>
        </w:rPr>
        <w:t xml:space="preserve">[Company Name] shall conduct an annual vendor rationalization exercise to reduce the total vendor count by eliminating: duplicate vendors providing the same goods or services, inactive vendors with no transactions in the trailing [18] months, high-risk vendors who cannot meet compliance requirements, and underperforming vendors who have not improved despite remediation efforts. The target vendor reduction shall be [10-15%] annually until the vendor base is optimized.</w:t>
      </w:r>
    </w:p>
    <w:p>
      <w:pPr>
        <w:pStyle w:val="Heading2"/>
        <w:spacing w:after="150" w:before="300"/>
      </w:pPr>
      <w:r>
        <w:rPr>
          <w:rFonts w:ascii="Georgia" w:cs="Georgia" w:eastAsia="Georgia" w:hAnsi="Georgia"/>
          <w:b/>
          <w:bCs/>
          <w:color w:val="333333"/>
          <w:sz w:val="26"/>
          <w:szCs w:val="26"/>
        </w:rPr>
        <w:t xml:space="preserve">13.2 Vendor Diversity Program</w:t>
      </w:r>
    </w:p>
    <w:p>
      <w:pPr>
        <w:spacing w:after="150" w:before="0"/>
        <w:jc w:val="both"/>
      </w:pPr>
      <w:r>
        <w:rPr>
          <w:rFonts w:ascii="Calibri" w:cs="Calibri" w:eastAsia="Calibri" w:hAnsi="Calibri"/>
          <w:color w:val="333333"/>
          <w:sz w:val="22"/>
          <w:szCs w:val="22"/>
        </w:rPr>
        <w:t xml:space="preserve">[Company Name] is committed to providing procurement opportunities to diverse suppliers including: minority-owned businesses, women-owned businesses, veteran-owned businesses, LGBTQ+-owned businesses, disability-owned businesses, and small businesses. The Procurement team shall maintain a diverse supplier database, actively seek diverse suppliers for all competitive sourcing events, and track diverse supplier spend as a percentage of total addressable spend. Annual diversity spend goals shall be established by the CFO in coordination with the DEI program.</w:t>
      </w:r>
    </w:p>
    <w:p>
      <w:pPr>
        <w:pStyle w:val="Heading2"/>
        <w:spacing w:after="150" w:before="300"/>
      </w:pPr>
      <w:r>
        <w:rPr>
          <w:rFonts w:ascii="Georgia" w:cs="Georgia" w:eastAsia="Georgia" w:hAnsi="Georgia"/>
          <w:b/>
          <w:bCs/>
          <w:color w:val="333333"/>
          <w:sz w:val="26"/>
          <w:szCs w:val="26"/>
        </w:rPr>
        <w:t xml:space="preserve">13.3 Anti-Bribery and Anti-Corruption</w:t>
      </w:r>
    </w:p>
    <w:p>
      <w:pPr>
        <w:spacing w:after="150" w:before="0"/>
        <w:jc w:val="both"/>
      </w:pPr>
      <w:r>
        <w:rPr>
          <w:rFonts w:ascii="Calibri" w:cs="Calibri" w:eastAsia="Calibri" w:hAnsi="Calibri"/>
          <w:color w:val="333333"/>
          <w:sz w:val="22"/>
          <w:szCs w:val="22"/>
        </w:rPr>
        <w:t xml:space="preserve">All vendor relationships shall comply with [Company Name]'s Anti-Bribery and Anti-Corruption Policy, the U.S. Foreign Corrupt Practices Act (FCPA), the UK Bribery Act, and applicable local anti-corruption laws. Enhanced due diligence is required for: vendors in high-corruption-risk countries (per Transparency International's CPI), vendors providing government-facing services, sales agents, customs brokers, and any vendor engaged to interact with government officials on [Company Name]'s behalf.</w:t>
      </w:r>
    </w:p>
    <w:p>
      <w:pPr>
        <w:pStyle w:val="Heading2"/>
        <w:spacing w:after="150" w:before="300"/>
      </w:pPr>
      <w:r>
        <w:rPr>
          <w:rFonts w:ascii="Georgia" w:cs="Georgia" w:eastAsia="Georgia" w:hAnsi="Georgia"/>
          <w:b/>
          <w:bCs/>
          <w:color w:val="333333"/>
          <w:sz w:val="26"/>
          <w:szCs w:val="26"/>
        </w:rPr>
        <w:t xml:space="preserve">13.4 Vendor Management KPIs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Critical vendor risk assessment completion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annually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SOC report collection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for in-scope vendors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Vendor scorecard completion (strategic vendors)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Vendor onboarding cycle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[10]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Active vendor count trend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Rationalizing annually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Diverse supplier spend %</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[5%] of addressable spend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Vendor Management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2026-07-13T07:06:54.017Z</dcterms:created>
  <dcterms:modified xsi:type="dcterms:W3CDTF">2026-07-13T07:06:54.017Z</dcterms:modified>
</cp:coreProperties>
</file>

<file path=docProps/custom.xml><?xml version="1.0" encoding="utf-8"?>
<Properties xmlns="http://schemas.openxmlformats.org/officeDocument/2006/custom-properties" xmlns:vt="http://schemas.openxmlformats.org/officeDocument/2006/docPropsVTypes"/>
</file>