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A93977" w14:textId="77777777" w:rsidR="00143F29" w:rsidRDefault="00143F29">
      <w:pPr>
        <w:spacing w:after="4000"/>
      </w:pPr>
    </w:p>
    <w:p w14:paraId="7F0E5634" w14:textId="77777777" w:rsidR="00143F29" w:rsidRDefault="00000000">
      <w:pPr>
        <w:spacing w:after="200"/>
        <w:jc w:val="center"/>
      </w:pPr>
      <w:r>
        <w:rPr>
          <w:rFonts w:ascii="Georgia" w:eastAsia="Georgia" w:hAnsi="Georgia" w:cs="Georgia"/>
          <w:b/>
          <w:bCs/>
          <w:color w:val="D4AF37"/>
          <w:sz w:val="56"/>
          <w:szCs w:val="56"/>
        </w:rPr>
        <w:t>EFuturesCFO</w:t>
      </w:r>
    </w:p>
    <w:p w14:paraId="640E1022" w14:textId="77777777" w:rsidR="00143F29" w:rsidRDefault="00000000">
      <w:pPr>
        <w:spacing w:after="100"/>
        <w:jc w:val="center"/>
      </w:pPr>
      <w:r>
        <w:rPr>
          <w:color w:val="9CA3AF"/>
          <w:sz w:val="24"/>
          <w:szCs w:val="24"/>
        </w:rPr>
        <w:t>Executive Decision Tools</w:t>
      </w:r>
    </w:p>
    <w:p w14:paraId="0A8DE350" w14:textId="77777777" w:rsidR="00143F29" w:rsidRDefault="00000000">
      <w:pPr>
        <w:pBdr>
          <w:bottom w:val="single" w:sz="6" w:space="0" w:color="D4AF37"/>
        </w:pBdr>
        <w:spacing w:after="600"/>
        <w:jc w:val="center"/>
      </w:pPr>
      <w:r>
        <w:rPr>
          <w:sz w:val="12"/>
          <w:szCs w:val="12"/>
        </w:rPr>
        <w:t xml:space="preserve"> </w:t>
      </w:r>
    </w:p>
    <w:p w14:paraId="00562A51" w14:textId="77777777" w:rsidR="00143F29" w:rsidRDefault="00143F29">
      <w:pPr>
        <w:spacing w:after="400"/>
      </w:pPr>
    </w:p>
    <w:p w14:paraId="04A20606" w14:textId="77777777" w:rsidR="00143F29" w:rsidRDefault="00000000">
      <w:pPr>
        <w:spacing w:after="200"/>
        <w:jc w:val="center"/>
      </w:pPr>
      <w:r>
        <w:rPr>
          <w:rFonts w:ascii="Georgia" w:eastAsia="Georgia" w:hAnsi="Georgia" w:cs="Georgia"/>
          <w:b/>
          <w:bCs/>
          <w:color w:val="0C0C0C"/>
          <w:sz w:val="48"/>
          <w:szCs w:val="48"/>
        </w:rPr>
        <w:t>Conflict Minerals &amp; Supply Chain Due Diligence Policy</w:t>
      </w:r>
    </w:p>
    <w:p w14:paraId="56CDC82E" w14:textId="77777777" w:rsidR="00143F29" w:rsidRDefault="00000000">
      <w:pPr>
        <w:spacing w:after="200"/>
        <w:jc w:val="center"/>
      </w:pPr>
      <w:r>
        <w:rPr>
          <w:color w:val="666666"/>
          <w:sz w:val="28"/>
          <w:szCs w:val="28"/>
        </w:rPr>
        <w:t>Policy &amp; Procedures Manual</w:t>
      </w:r>
    </w:p>
    <w:p w14:paraId="2F85772C" w14:textId="77777777" w:rsidR="00143F29" w:rsidRDefault="00143F29">
      <w:pPr>
        <w:spacing w:after="2000"/>
      </w:pPr>
    </w:p>
    <w:p w14:paraId="2E399A3E" w14:textId="77777777" w:rsidR="00143F29" w:rsidRDefault="00000000">
      <w:pPr>
        <w:spacing w:after="100"/>
        <w:jc w:val="center"/>
      </w:pPr>
      <w:r>
        <w:rPr>
          <w:b/>
          <w:bCs/>
          <w:color w:val="0C0C0C"/>
          <w:sz w:val="28"/>
          <w:szCs w:val="28"/>
        </w:rPr>
        <w:t>[Company Name]</w:t>
      </w:r>
    </w:p>
    <w:p w14:paraId="72DF0C65" w14:textId="77777777" w:rsidR="00143F29" w:rsidRDefault="00000000">
      <w:pPr>
        <w:spacing w:after="100"/>
        <w:jc w:val="center"/>
      </w:pPr>
      <w:r>
        <w:rPr>
          <w:color w:val="9CA3AF"/>
        </w:rPr>
        <w:t>Policy Document — Confidential</w:t>
      </w:r>
    </w:p>
    <w:p w14:paraId="71EB70A8" w14:textId="77777777" w:rsidR="00143F29" w:rsidRDefault="00000000">
      <w:pPr>
        <w:spacing w:after="100"/>
        <w:jc w:val="center"/>
      </w:pPr>
      <w:r>
        <w:rPr>
          <w:color w:val="9CA3AF"/>
          <w:sz w:val="20"/>
          <w:szCs w:val="20"/>
        </w:rPr>
        <w:t>Effective Date: [</w:t>
      </w:r>
      <w:proofErr w:type="gramStart"/>
      <w:r>
        <w:rPr>
          <w:color w:val="9CA3AF"/>
          <w:sz w:val="20"/>
          <w:szCs w:val="20"/>
        </w:rPr>
        <w:t>Date]  |</w:t>
      </w:r>
      <w:proofErr w:type="gramEnd"/>
      <w:r>
        <w:rPr>
          <w:color w:val="9CA3AF"/>
          <w:sz w:val="20"/>
          <w:szCs w:val="20"/>
        </w:rPr>
        <w:t xml:space="preserve">  Version: 1.0</w:t>
      </w:r>
    </w:p>
    <w:p w14:paraId="704DC182" w14:textId="77777777" w:rsidR="00143F29" w:rsidRDefault="00000000">
      <w:pPr>
        <w:spacing w:after="100"/>
        <w:jc w:val="center"/>
      </w:pPr>
      <w:r>
        <w:rPr>
          <w:color w:val="9CA3AF"/>
          <w:sz w:val="20"/>
          <w:szCs w:val="20"/>
        </w:rPr>
        <w:t xml:space="preserve">Owner: [Policy Owner </w:t>
      </w:r>
      <w:proofErr w:type="gramStart"/>
      <w:r>
        <w:rPr>
          <w:color w:val="9CA3AF"/>
          <w:sz w:val="20"/>
          <w:szCs w:val="20"/>
        </w:rPr>
        <w:t>Title]  |</w:t>
      </w:r>
      <w:proofErr w:type="gramEnd"/>
      <w:r>
        <w:rPr>
          <w:color w:val="9CA3AF"/>
          <w:sz w:val="20"/>
          <w:szCs w:val="20"/>
        </w:rPr>
        <w:t xml:space="preserve">  Approved by: [CFO Name]</w:t>
      </w:r>
    </w:p>
    <w:p w14:paraId="72058864" w14:textId="77777777" w:rsidR="00143F29" w:rsidRDefault="00000000">
      <w:r>
        <w:br w:type="page"/>
      </w:r>
    </w:p>
    <w:p w14:paraId="594E6162" w14:textId="77777777" w:rsidR="00143F29" w:rsidRDefault="00000000">
      <w:pPr>
        <w:pStyle w:val="Heading1"/>
        <w:spacing w:after="300"/>
      </w:pPr>
      <w:bookmarkStart w:id="0" w:name="_Toc235439963"/>
      <w:r>
        <w:lastRenderedPageBreak/>
        <w:t>Table of Contents</w:t>
      </w:r>
      <w:bookmarkEnd w:id="0"/>
    </w:p>
    <w:sdt>
      <w:sdtPr>
        <w:alias w:val="Table of Contents"/>
        <w:id w:val="-1383402446"/>
      </w:sdtPr>
      <w:sdtContent>
        <w:p w14:paraId="2EFACC96" w14:textId="77777777" w:rsidR="002977AB" w:rsidRDefault="00000000">
          <w:pPr>
            <w:pStyle w:val="TOC1"/>
            <w:tabs>
              <w:tab w:val="right" w:leader="dot" w:pos="9350"/>
            </w:tabs>
            <w:rPr>
              <w:noProof/>
            </w:rPr>
          </w:pPr>
          <w:r>
            <w:fldChar w:fldCharType="begin"/>
          </w:r>
          <w:r>
            <w:instrText>TOC \h \o "1-3"</w:instrText>
          </w:r>
          <w:r>
            <w:fldChar w:fldCharType="separate"/>
          </w:r>
          <w:hyperlink w:anchor="_Toc235439963" w:history="1">
            <w:r w:rsidR="002977AB" w:rsidRPr="00FD06E9">
              <w:rPr>
                <w:rStyle w:val="Hyperlink"/>
                <w:noProof/>
              </w:rPr>
              <w:t>Table of Contents</w:t>
            </w:r>
            <w:r w:rsidR="002977AB">
              <w:rPr>
                <w:noProof/>
              </w:rPr>
              <w:tab/>
            </w:r>
            <w:r w:rsidR="002977AB">
              <w:rPr>
                <w:noProof/>
              </w:rPr>
              <w:fldChar w:fldCharType="begin"/>
            </w:r>
            <w:r w:rsidR="002977AB">
              <w:rPr>
                <w:noProof/>
              </w:rPr>
              <w:instrText xml:space="preserve"> PAGEREF _Toc235439963 \h </w:instrText>
            </w:r>
            <w:r w:rsidR="002977AB">
              <w:rPr>
                <w:noProof/>
              </w:rPr>
            </w:r>
            <w:r w:rsidR="002977AB">
              <w:rPr>
                <w:noProof/>
              </w:rPr>
              <w:fldChar w:fldCharType="separate"/>
            </w:r>
            <w:r w:rsidR="002977AB">
              <w:rPr>
                <w:noProof/>
              </w:rPr>
              <w:t>1</w:t>
            </w:r>
            <w:r w:rsidR="002977AB">
              <w:rPr>
                <w:noProof/>
              </w:rPr>
              <w:fldChar w:fldCharType="end"/>
            </w:r>
          </w:hyperlink>
        </w:p>
        <w:p w14:paraId="6687641E" w14:textId="77777777" w:rsidR="002977AB" w:rsidRDefault="002977AB">
          <w:pPr>
            <w:pStyle w:val="TOC1"/>
            <w:tabs>
              <w:tab w:val="right" w:leader="dot" w:pos="9350"/>
            </w:tabs>
            <w:rPr>
              <w:noProof/>
            </w:rPr>
          </w:pPr>
          <w:hyperlink w:anchor="_Toc235439964" w:history="1">
            <w:r w:rsidRPr="00FD06E9">
              <w:rPr>
                <w:rStyle w:val="Hyperlink"/>
                <w:noProof/>
              </w:rPr>
              <w:t>1. Purpose &amp; Scope</w:t>
            </w:r>
            <w:r>
              <w:rPr>
                <w:noProof/>
              </w:rPr>
              <w:tab/>
            </w:r>
            <w:r>
              <w:rPr>
                <w:noProof/>
              </w:rPr>
              <w:fldChar w:fldCharType="begin"/>
            </w:r>
            <w:r>
              <w:rPr>
                <w:noProof/>
              </w:rPr>
              <w:instrText xml:space="preserve"> PAGEREF _Toc235439964 \h </w:instrText>
            </w:r>
            <w:r>
              <w:rPr>
                <w:noProof/>
              </w:rPr>
            </w:r>
            <w:r>
              <w:rPr>
                <w:noProof/>
              </w:rPr>
              <w:fldChar w:fldCharType="separate"/>
            </w:r>
            <w:r>
              <w:rPr>
                <w:noProof/>
              </w:rPr>
              <w:t>1</w:t>
            </w:r>
            <w:r>
              <w:rPr>
                <w:noProof/>
              </w:rPr>
              <w:fldChar w:fldCharType="end"/>
            </w:r>
          </w:hyperlink>
        </w:p>
        <w:p w14:paraId="7318B3A1" w14:textId="77777777" w:rsidR="002977AB" w:rsidRDefault="002977AB">
          <w:pPr>
            <w:pStyle w:val="TOC2"/>
            <w:tabs>
              <w:tab w:val="right" w:leader="dot" w:pos="9350"/>
            </w:tabs>
            <w:rPr>
              <w:noProof/>
            </w:rPr>
          </w:pPr>
          <w:hyperlink w:anchor="_Toc235439965" w:history="1">
            <w:r w:rsidRPr="00FD06E9">
              <w:rPr>
                <w:rStyle w:val="Hyperlink"/>
                <w:noProof/>
              </w:rPr>
              <w:t>1.1 Objectives</w:t>
            </w:r>
            <w:r>
              <w:rPr>
                <w:noProof/>
              </w:rPr>
              <w:tab/>
            </w:r>
            <w:r>
              <w:rPr>
                <w:noProof/>
              </w:rPr>
              <w:fldChar w:fldCharType="begin"/>
            </w:r>
            <w:r>
              <w:rPr>
                <w:noProof/>
              </w:rPr>
              <w:instrText xml:space="preserve"> PAGEREF _Toc235439965 \h </w:instrText>
            </w:r>
            <w:r>
              <w:rPr>
                <w:noProof/>
              </w:rPr>
            </w:r>
            <w:r>
              <w:rPr>
                <w:noProof/>
              </w:rPr>
              <w:fldChar w:fldCharType="separate"/>
            </w:r>
            <w:r>
              <w:rPr>
                <w:noProof/>
              </w:rPr>
              <w:t>1</w:t>
            </w:r>
            <w:r>
              <w:rPr>
                <w:noProof/>
              </w:rPr>
              <w:fldChar w:fldCharType="end"/>
            </w:r>
          </w:hyperlink>
        </w:p>
        <w:p w14:paraId="15B01470" w14:textId="77777777" w:rsidR="002977AB" w:rsidRDefault="002977AB">
          <w:pPr>
            <w:pStyle w:val="TOC1"/>
            <w:tabs>
              <w:tab w:val="right" w:leader="dot" w:pos="9350"/>
            </w:tabs>
            <w:rPr>
              <w:noProof/>
            </w:rPr>
          </w:pPr>
          <w:hyperlink w:anchor="_Toc235439966" w:history="1">
            <w:r w:rsidRPr="00FD06E9">
              <w:rPr>
                <w:rStyle w:val="Hyperlink"/>
                <w:noProof/>
              </w:rPr>
              <w:t>2. Definitions</w:t>
            </w:r>
            <w:r>
              <w:rPr>
                <w:noProof/>
              </w:rPr>
              <w:tab/>
            </w:r>
            <w:r>
              <w:rPr>
                <w:noProof/>
              </w:rPr>
              <w:fldChar w:fldCharType="begin"/>
            </w:r>
            <w:r>
              <w:rPr>
                <w:noProof/>
              </w:rPr>
              <w:instrText xml:space="preserve"> PAGEREF _Toc235439966 \h </w:instrText>
            </w:r>
            <w:r>
              <w:rPr>
                <w:noProof/>
              </w:rPr>
            </w:r>
            <w:r>
              <w:rPr>
                <w:noProof/>
              </w:rPr>
              <w:fldChar w:fldCharType="separate"/>
            </w:r>
            <w:r>
              <w:rPr>
                <w:noProof/>
              </w:rPr>
              <w:t>1</w:t>
            </w:r>
            <w:r>
              <w:rPr>
                <w:noProof/>
              </w:rPr>
              <w:fldChar w:fldCharType="end"/>
            </w:r>
          </w:hyperlink>
        </w:p>
        <w:p w14:paraId="1F0CC45D" w14:textId="77777777" w:rsidR="002977AB" w:rsidRDefault="002977AB">
          <w:pPr>
            <w:pStyle w:val="TOC1"/>
            <w:tabs>
              <w:tab w:val="right" w:leader="dot" w:pos="9350"/>
            </w:tabs>
            <w:rPr>
              <w:noProof/>
            </w:rPr>
          </w:pPr>
          <w:hyperlink w:anchor="_Toc235439967" w:history="1">
            <w:r w:rsidRPr="00FD06E9">
              <w:rPr>
                <w:rStyle w:val="Hyperlink"/>
                <w:noProof/>
              </w:rPr>
              <w:t>3. Policy Statements</w:t>
            </w:r>
            <w:r>
              <w:rPr>
                <w:noProof/>
              </w:rPr>
              <w:tab/>
            </w:r>
            <w:r>
              <w:rPr>
                <w:noProof/>
              </w:rPr>
              <w:fldChar w:fldCharType="begin"/>
            </w:r>
            <w:r>
              <w:rPr>
                <w:noProof/>
              </w:rPr>
              <w:instrText xml:space="preserve"> PAGEREF _Toc235439967 \h </w:instrText>
            </w:r>
            <w:r>
              <w:rPr>
                <w:noProof/>
              </w:rPr>
            </w:r>
            <w:r>
              <w:rPr>
                <w:noProof/>
              </w:rPr>
              <w:fldChar w:fldCharType="separate"/>
            </w:r>
            <w:r>
              <w:rPr>
                <w:noProof/>
              </w:rPr>
              <w:t>1</w:t>
            </w:r>
            <w:r>
              <w:rPr>
                <w:noProof/>
              </w:rPr>
              <w:fldChar w:fldCharType="end"/>
            </w:r>
          </w:hyperlink>
        </w:p>
        <w:p w14:paraId="47D5D5B0" w14:textId="77777777" w:rsidR="002977AB" w:rsidRDefault="002977AB">
          <w:pPr>
            <w:pStyle w:val="TOC2"/>
            <w:tabs>
              <w:tab w:val="right" w:leader="dot" w:pos="9350"/>
            </w:tabs>
            <w:rPr>
              <w:noProof/>
            </w:rPr>
          </w:pPr>
          <w:hyperlink w:anchor="_Toc235439968" w:history="1">
            <w:r w:rsidRPr="00FD06E9">
              <w:rPr>
                <w:rStyle w:val="Hyperlink"/>
                <w:noProof/>
              </w:rPr>
              <w:t>3.1 Applicability Assessment</w:t>
            </w:r>
            <w:r>
              <w:rPr>
                <w:noProof/>
              </w:rPr>
              <w:tab/>
            </w:r>
            <w:r>
              <w:rPr>
                <w:noProof/>
              </w:rPr>
              <w:fldChar w:fldCharType="begin"/>
            </w:r>
            <w:r>
              <w:rPr>
                <w:noProof/>
              </w:rPr>
              <w:instrText xml:space="preserve"> PAGEREF _Toc235439968 \h </w:instrText>
            </w:r>
            <w:r>
              <w:rPr>
                <w:noProof/>
              </w:rPr>
            </w:r>
            <w:r>
              <w:rPr>
                <w:noProof/>
              </w:rPr>
              <w:fldChar w:fldCharType="separate"/>
            </w:r>
            <w:r>
              <w:rPr>
                <w:noProof/>
              </w:rPr>
              <w:t>1</w:t>
            </w:r>
            <w:r>
              <w:rPr>
                <w:noProof/>
              </w:rPr>
              <w:fldChar w:fldCharType="end"/>
            </w:r>
          </w:hyperlink>
        </w:p>
        <w:p w14:paraId="717399BA" w14:textId="77777777" w:rsidR="002977AB" w:rsidRDefault="002977AB">
          <w:pPr>
            <w:pStyle w:val="TOC2"/>
            <w:tabs>
              <w:tab w:val="right" w:leader="dot" w:pos="9350"/>
            </w:tabs>
            <w:rPr>
              <w:noProof/>
            </w:rPr>
          </w:pPr>
          <w:hyperlink w:anchor="_Toc235439969" w:history="1">
            <w:r w:rsidRPr="00FD06E9">
              <w:rPr>
                <w:rStyle w:val="Hyperlink"/>
                <w:noProof/>
              </w:rPr>
              <w:t>3.2 Reasonable Country of Origin Inquiry</w:t>
            </w:r>
            <w:r>
              <w:rPr>
                <w:noProof/>
              </w:rPr>
              <w:tab/>
            </w:r>
            <w:r>
              <w:rPr>
                <w:noProof/>
              </w:rPr>
              <w:fldChar w:fldCharType="begin"/>
            </w:r>
            <w:r>
              <w:rPr>
                <w:noProof/>
              </w:rPr>
              <w:instrText xml:space="preserve"> PAGEREF _Toc235439969 \h </w:instrText>
            </w:r>
            <w:r>
              <w:rPr>
                <w:noProof/>
              </w:rPr>
            </w:r>
            <w:r>
              <w:rPr>
                <w:noProof/>
              </w:rPr>
              <w:fldChar w:fldCharType="separate"/>
            </w:r>
            <w:r>
              <w:rPr>
                <w:noProof/>
              </w:rPr>
              <w:t>1</w:t>
            </w:r>
            <w:r>
              <w:rPr>
                <w:noProof/>
              </w:rPr>
              <w:fldChar w:fldCharType="end"/>
            </w:r>
          </w:hyperlink>
        </w:p>
        <w:p w14:paraId="7ADD57C6" w14:textId="77777777" w:rsidR="002977AB" w:rsidRDefault="002977AB">
          <w:pPr>
            <w:pStyle w:val="TOC2"/>
            <w:tabs>
              <w:tab w:val="right" w:leader="dot" w:pos="9350"/>
            </w:tabs>
            <w:rPr>
              <w:noProof/>
            </w:rPr>
          </w:pPr>
          <w:hyperlink w:anchor="_Toc235439970" w:history="1">
            <w:r w:rsidRPr="00FD06E9">
              <w:rPr>
                <w:rStyle w:val="Hyperlink"/>
                <w:noProof/>
              </w:rPr>
              <w:t>3.3 Due Diligence</w:t>
            </w:r>
            <w:r>
              <w:rPr>
                <w:noProof/>
              </w:rPr>
              <w:tab/>
            </w:r>
            <w:r>
              <w:rPr>
                <w:noProof/>
              </w:rPr>
              <w:fldChar w:fldCharType="begin"/>
            </w:r>
            <w:r>
              <w:rPr>
                <w:noProof/>
              </w:rPr>
              <w:instrText xml:space="preserve"> PAGEREF _Toc235439970 \h </w:instrText>
            </w:r>
            <w:r>
              <w:rPr>
                <w:noProof/>
              </w:rPr>
            </w:r>
            <w:r>
              <w:rPr>
                <w:noProof/>
              </w:rPr>
              <w:fldChar w:fldCharType="separate"/>
            </w:r>
            <w:r>
              <w:rPr>
                <w:noProof/>
              </w:rPr>
              <w:t>1</w:t>
            </w:r>
            <w:r>
              <w:rPr>
                <w:noProof/>
              </w:rPr>
              <w:fldChar w:fldCharType="end"/>
            </w:r>
          </w:hyperlink>
        </w:p>
        <w:p w14:paraId="187D33A7" w14:textId="77777777" w:rsidR="002977AB" w:rsidRDefault="002977AB">
          <w:pPr>
            <w:pStyle w:val="TOC2"/>
            <w:tabs>
              <w:tab w:val="right" w:leader="dot" w:pos="9350"/>
            </w:tabs>
            <w:rPr>
              <w:noProof/>
            </w:rPr>
          </w:pPr>
          <w:hyperlink w:anchor="_Toc235439971" w:history="1">
            <w:r w:rsidRPr="00FD06E9">
              <w:rPr>
                <w:rStyle w:val="Hyperlink"/>
                <w:noProof/>
              </w:rPr>
              <w:t>3.4 Supplier Engagement</w:t>
            </w:r>
            <w:r>
              <w:rPr>
                <w:noProof/>
              </w:rPr>
              <w:tab/>
            </w:r>
            <w:r>
              <w:rPr>
                <w:noProof/>
              </w:rPr>
              <w:fldChar w:fldCharType="begin"/>
            </w:r>
            <w:r>
              <w:rPr>
                <w:noProof/>
              </w:rPr>
              <w:instrText xml:space="preserve"> PAGEREF _Toc235439971 \h </w:instrText>
            </w:r>
            <w:r>
              <w:rPr>
                <w:noProof/>
              </w:rPr>
            </w:r>
            <w:r>
              <w:rPr>
                <w:noProof/>
              </w:rPr>
              <w:fldChar w:fldCharType="separate"/>
            </w:r>
            <w:r>
              <w:rPr>
                <w:noProof/>
              </w:rPr>
              <w:t>1</w:t>
            </w:r>
            <w:r>
              <w:rPr>
                <w:noProof/>
              </w:rPr>
              <w:fldChar w:fldCharType="end"/>
            </w:r>
          </w:hyperlink>
        </w:p>
        <w:p w14:paraId="163356BA" w14:textId="77777777" w:rsidR="002977AB" w:rsidRDefault="002977AB">
          <w:pPr>
            <w:pStyle w:val="TOC2"/>
            <w:tabs>
              <w:tab w:val="right" w:leader="dot" w:pos="9350"/>
            </w:tabs>
            <w:rPr>
              <w:noProof/>
            </w:rPr>
          </w:pPr>
          <w:hyperlink w:anchor="_Toc235439972" w:history="1">
            <w:r w:rsidRPr="00FD06E9">
              <w:rPr>
                <w:rStyle w:val="Hyperlink"/>
                <w:noProof/>
              </w:rPr>
              <w:t>3.5 Financial Reporting</w:t>
            </w:r>
            <w:r>
              <w:rPr>
                <w:noProof/>
              </w:rPr>
              <w:tab/>
            </w:r>
            <w:r>
              <w:rPr>
                <w:noProof/>
              </w:rPr>
              <w:fldChar w:fldCharType="begin"/>
            </w:r>
            <w:r>
              <w:rPr>
                <w:noProof/>
              </w:rPr>
              <w:instrText xml:space="preserve"> PAGEREF _Toc235439972 \h </w:instrText>
            </w:r>
            <w:r>
              <w:rPr>
                <w:noProof/>
              </w:rPr>
            </w:r>
            <w:r>
              <w:rPr>
                <w:noProof/>
              </w:rPr>
              <w:fldChar w:fldCharType="separate"/>
            </w:r>
            <w:r>
              <w:rPr>
                <w:noProof/>
              </w:rPr>
              <w:t>1</w:t>
            </w:r>
            <w:r>
              <w:rPr>
                <w:noProof/>
              </w:rPr>
              <w:fldChar w:fldCharType="end"/>
            </w:r>
          </w:hyperlink>
        </w:p>
        <w:p w14:paraId="4A92D4DE" w14:textId="77777777" w:rsidR="002977AB" w:rsidRDefault="002977AB">
          <w:pPr>
            <w:pStyle w:val="TOC1"/>
            <w:tabs>
              <w:tab w:val="right" w:leader="dot" w:pos="9350"/>
            </w:tabs>
            <w:rPr>
              <w:noProof/>
            </w:rPr>
          </w:pPr>
          <w:hyperlink w:anchor="_Toc235439973" w:history="1">
            <w:r w:rsidRPr="00FD06E9">
              <w:rPr>
                <w:rStyle w:val="Hyperlink"/>
                <w:noProof/>
              </w:rPr>
              <w:t>4. Roles &amp; Responsibilities</w:t>
            </w:r>
            <w:r>
              <w:rPr>
                <w:noProof/>
              </w:rPr>
              <w:tab/>
            </w:r>
            <w:r>
              <w:rPr>
                <w:noProof/>
              </w:rPr>
              <w:fldChar w:fldCharType="begin"/>
            </w:r>
            <w:r>
              <w:rPr>
                <w:noProof/>
              </w:rPr>
              <w:instrText xml:space="preserve"> PAGEREF _Toc235439973 \h </w:instrText>
            </w:r>
            <w:r>
              <w:rPr>
                <w:noProof/>
              </w:rPr>
            </w:r>
            <w:r>
              <w:rPr>
                <w:noProof/>
              </w:rPr>
              <w:fldChar w:fldCharType="separate"/>
            </w:r>
            <w:r>
              <w:rPr>
                <w:noProof/>
              </w:rPr>
              <w:t>1</w:t>
            </w:r>
            <w:r>
              <w:rPr>
                <w:noProof/>
              </w:rPr>
              <w:fldChar w:fldCharType="end"/>
            </w:r>
          </w:hyperlink>
        </w:p>
        <w:p w14:paraId="7DFD246F" w14:textId="77777777" w:rsidR="002977AB" w:rsidRDefault="002977AB">
          <w:pPr>
            <w:pStyle w:val="TOC1"/>
            <w:tabs>
              <w:tab w:val="right" w:leader="dot" w:pos="9350"/>
            </w:tabs>
            <w:rPr>
              <w:noProof/>
            </w:rPr>
          </w:pPr>
          <w:hyperlink w:anchor="_Toc235439974" w:history="1">
            <w:r w:rsidRPr="00FD06E9">
              <w:rPr>
                <w:rStyle w:val="Hyperlink"/>
                <w:noProof/>
              </w:rPr>
              <w:t>5. Detailed Procedures</w:t>
            </w:r>
            <w:r>
              <w:rPr>
                <w:noProof/>
              </w:rPr>
              <w:tab/>
            </w:r>
            <w:r>
              <w:rPr>
                <w:noProof/>
              </w:rPr>
              <w:fldChar w:fldCharType="begin"/>
            </w:r>
            <w:r>
              <w:rPr>
                <w:noProof/>
              </w:rPr>
              <w:instrText xml:space="preserve"> PAGEREF _Toc235439974 \h </w:instrText>
            </w:r>
            <w:r>
              <w:rPr>
                <w:noProof/>
              </w:rPr>
            </w:r>
            <w:r>
              <w:rPr>
                <w:noProof/>
              </w:rPr>
              <w:fldChar w:fldCharType="separate"/>
            </w:r>
            <w:r>
              <w:rPr>
                <w:noProof/>
              </w:rPr>
              <w:t>1</w:t>
            </w:r>
            <w:r>
              <w:rPr>
                <w:noProof/>
              </w:rPr>
              <w:fldChar w:fldCharType="end"/>
            </w:r>
          </w:hyperlink>
        </w:p>
        <w:p w14:paraId="736BA3B7" w14:textId="77777777" w:rsidR="002977AB" w:rsidRDefault="002977AB">
          <w:pPr>
            <w:pStyle w:val="TOC2"/>
            <w:tabs>
              <w:tab w:val="right" w:leader="dot" w:pos="9350"/>
            </w:tabs>
            <w:rPr>
              <w:noProof/>
            </w:rPr>
          </w:pPr>
          <w:hyperlink w:anchor="_Toc235439975" w:history="1">
            <w:r w:rsidRPr="00FD06E9">
              <w:rPr>
                <w:rStyle w:val="Hyperlink"/>
                <w:noProof/>
              </w:rPr>
              <w:t>5.1 Annual Compliance Cycle</w:t>
            </w:r>
            <w:r>
              <w:rPr>
                <w:noProof/>
              </w:rPr>
              <w:tab/>
            </w:r>
            <w:r>
              <w:rPr>
                <w:noProof/>
              </w:rPr>
              <w:fldChar w:fldCharType="begin"/>
            </w:r>
            <w:r>
              <w:rPr>
                <w:noProof/>
              </w:rPr>
              <w:instrText xml:space="preserve"> PAGEREF _Toc235439975 \h </w:instrText>
            </w:r>
            <w:r>
              <w:rPr>
                <w:noProof/>
              </w:rPr>
            </w:r>
            <w:r>
              <w:rPr>
                <w:noProof/>
              </w:rPr>
              <w:fldChar w:fldCharType="separate"/>
            </w:r>
            <w:r>
              <w:rPr>
                <w:noProof/>
              </w:rPr>
              <w:t>1</w:t>
            </w:r>
            <w:r>
              <w:rPr>
                <w:noProof/>
              </w:rPr>
              <w:fldChar w:fldCharType="end"/>
            </w:r>
          </w:hyperlink>
        </w:p>
        <w:p w14:paraId="0374AB2E" w14:textId="77777777" w:rsidR="002977AB" w:rsidRDefault="002977AB">
          <w:pPr>
            <w:pStyle w:val="TOC2"/>
            <w:tabs>
              <w:tab w:val="right" w:leader="dot" w:pos="9350"/>
            </w:tabs>
            <w:rPr>
              <w:noProof/>
            </w:rPr>
          </w:pPr>
          <w:hyperlink w:anchor="_Toc235439976" w:history="1">
            <w:r w:rsidRPr="00FD06E9">
              <w:rPr>
                <w:rStyle w:val="Hyperlink"/>
                <w:noProof/>
              </w:rPr>
              <w:t>5.2 Supplier CMRT Collection</w:t>
            </w:r>
            <w:r>
              <w:rPr>
                <w:noProof/>
              </w:rPr>
              <w:tab/>
            </w:r>
            <w:r>
              <w:rPr>
                <w:noProof/>
              </w:rPr>
              <w:fldChar w:fldCharType="begin"/>
            </w:r>
            <w:r>
              <w:rPr>
                <w:noProof/>
              </w:rPr>
              <w:instrText xml:space="preserve"> PAGEREF _Toc235439976 \h </w:instrText>
            </w:r>
            <w:r>
              <w:rPr>
                <w:noProof/>
              </w:rPr>
            </w:r>
            <w:r>
              <w:rPr>
                <w:noProof/>
              </w:rPr>
              <w:fldChar w:fldCharType="separate"/>
            </w:r>
            <w:r>
              <w:rPr>
                <w:noProof/>
              </w:rPr>
              <w:t>1</w:t>
            </w:r>
            <w:r>
              <w:rPr>
                <w:noProof/>
              </w:rPr>
              <w:fldChar w:fldCharType="end"/>
            </w:r>
          </w:hyperlink>
        </w:p>
        <w:p w14:paraId="2DD7B564" w14:textId="77777777" w:rsidR="002977AB" w:rsidRDefault="002977AB">
          <w:pPr>
            <w:pStyle w:val="TOC2"/>
            <w:tabs>
              <w:tab w:val="right" w:leader="dot" w:pos="9350"/>
            </w:tabs>
            <w:rPr>
              <w:noProof/>
            </w:rPr>
          </w:pPr>
          <w:hyperlink w:anchor="_Toc235439977" w:history="1">
            <w:r w:rsidRPr="00FD06E9">
              <w:rPr>
                <w:rStyle w:val="Hyperlink"/>
                <w:noProof/>
              </w:rPr>
              <w:t>5.3 RCOI Analysis</w:t>
            </w:r>
            <w:r>
              <w:rPr>
                <w:noProof/>
              </w:rPr>
              <w:tab/>
            </w:r>
            <w:r>
              <w:rPr>
                <w:noProof/>
              </w:rPr>
              <w:fldChar w:fldCharType="begin"/>
            </w:r>
            <w:r>
              <w:rPr>
                <w:noProof/>
              </w:rPr>
              <w:instrText xml:space="preserve"> PAGEREF _Toc235439977 \h </w:instrText>
            </w:r>
            <w:r>
              <w:rPr>
                <w:noProof/>
              </w:rPr>
            </w:r>
            <w:r>
              <w:rPr>
                <w:noProof/>
              </w:rPr>
              <w:fldChar w:fldCharType="separate"/>
            </w:r>
            <w:r>
              <w:rPr>
                <w:noProof/>
              </w:rPr>
              <w:t>1</w:t>
            </w:r>
            <w:r>
              <w:rPr>
                <w:noProof/>
              </w:rPr>
              <w:fldChar w:fldCharType="end"/>
            </w:r>
          </w:hyperlink>
        </w:p>
        <w:p w14:paraId="47568137" w14:textId="77777777" w:rsidR="002977AB" w:rsidRDefault="002977AB">
          <w:pPr>
            <w:pStyle w:val="TOC2"/>
            <w:tabs>
              <w:tab w:val="right" w:leader="dot" w:pos="9350"/>
            </w:tabs>
            <w:rPr>
              <w:noProof/>
            </w:rPr>
          </w:pPr>
          <w:hyperlink w:anchor="_Toc235439978" w:history="1">
            <w:r w:rsidRPr="00FD06E9">
              <w:rPr>
                <w:rStyle w:val="Hyperlink"/>
                <w:noProof/>
              </w:rPr>
              <w:t>5.4 Form SD Preparation</w:t>
            </w:r>
            <w:r>
              <w:rPr>
                <w:noProof/>
              </w:rPr>
              <w:tab/>
            </w:r>
            <w:r>
              <w:rPr>
                <w:noProof/>
              </w:rPr>
              <w:fldChar w:fldCharType="begin"/>
            </w:r>
            <w:r>
              <w:rPr>
                <w:noProof/>
              </w:rPr>
              <w:instrText xml:space="preserve"> PAGEREF _Toc235439978 \h </w:instrText>
            </w:r>
            <w:r>
              <w:rPr>
                <w:noProof/>
              </w:rPr>
            </w:r>
            <w:r>
              <w:rPr>
                <w:noProof/>
              </w:rPr>
              <w:fldChar w:fldCharType="separate"/>
            </w:r>
            <w:r>
              <w:rPr>
                <w:noProof/>
              </w:rPr>
              <w:t>1</w:t>
            </w:r>
            <w:r>
              <w:rPr>
                <w:noProof/>
              </w:rPr>
              <w:fldChar w:fldCharType="end"/>
            </w:r>
          </w:hyperlink>
        </w:p>
        <w:p w14:paraId="5CA7E42F" w14:textId="77777777" w:rsidR="002977AB" w:rsidRDefault="002977AB">
          <w:pPr>
            <w:pStyle w:val="TOC2"/>
            <w:tabs>
              <w:tab w:val="right" w:leader="dot" w:pos="9350"/>
            </w:tabs>
            <w:rPr>
              <w:noProof/>
            </w:rPr>
          </w:pPr>
          <w:hyperlink w:anchor="_Toc235439979" w:history="1">
            <w:r w:rsidRPr="00FD06E9">
              <w:rPr>
                <w:rStyle w:val="Hyperlink"/>
                <w:noProof/>
              </w:rPr>
              <w:t>5.5 Continuous Improvement</w:t>
            </w:r>
            <w:r>
              <w:rPr>
                <w:noProof/>
              </w:rPr>
              <w:tab/>
            </w:r>
            <w:r>
              <w:rPr>
                <w:noProof/>
              </w:rPr>
              <w:fldChar w:fldCharType="begin"/>
            </w:r>
            <w:r>
              <w:rPr>
                <w:noProof/>
              </w:rPr>
              <w:instrText xml:space="preserve"> PAGEREF _Toc235439979 \h </w:instrText>
            </w:r>
            <w:r>
              <w:rPr>
                <w:noProof/>
              </w:rPr>
            </w:r>
            <w:r>
              <w:rPr>
                <w:noProof/>
              </w:rPr>
              <w:fldChar w:fldCharType="separate"/>
            </w:r>
            <w:r>
              <w:rPr>
                <w:noProof/>
              </w:rPr>
              <w:t>1</w:t>
            </w:r>
            <w:r>
              <w:rPr>
                <w:noProof/>
              </w:rPr>
              <w:fldChar w:fldCharType="end"/>
            </w:r>
          </w:hyperlink>
        </w:p>
        <w:p w14:paraId="2FE9CAAC" w14:textId="77777777" w:rsidR="002977AB" w:rsidRDefault="002977AB">
          <w:pPr>
            <w:pStyle w:val="TOC1"/>
            <w:tabs>
              <w:tab w:val="right" w:leader="dot" w:pos="9350"/>
            </w:tabs>
            <w:rPr>
              <w:noProof/>
            </w:rPr>
          </w:pPr>
          <w:hyperlink w:anchor="_Toc235439980" w:history="1">
            <w:r w:rsidRPr="00FD06E9">
              <w:rPr>
                <w:rStyle w:val="Hyperlink"/>
                <w:noProof/>
              </w:rPr>
              <w:t>6. Approval Authorities &amp; Thresholds</w:t>
            </w:r>
            <w:r>
              <w:rPr>
                <w:noProof/>
              </w:rPr>
              <w:tab/>
            </w:r>
            <w:r>
              <w:rPr>
                <w:noProof/>
              </w:rPr>
              <w:fldChar w:fldCharType="begin"/>
            </w:r>
            <w:r>
              <w:rPr>
                <w:noProof/>
              </w:rPr>
              <w:instrText xml:space="preserve"> PAGEREF _Toc235439980 \h </w:instrText>
            </w:r>
            <w:r>
              <w:rPr>
                <w:noProof/>
              </w:rPr>
            </w:r>
            <w:r>
              <w:rPr>
                <w:noProof/>
              </w:rPr>
              <w:fldChar w:fldCharType="separate"/>
            </w:r>
            <w:r>
              <w:rPr>
                <w:noProof/>
              </w:rPr>
              <w:t>1</w:t>
            </w:r>
            <w:r>
              <w:rPr>
                <w:noProof/>
              </w:rPr>
              <w:fldChar w:fldCharType="end"/>
            </w:r>
          </w:hyperlink>
        </w:p>
        <w:p w14:paraId="3710FC08" w14:textId="77777777" w:rsidR="002977AB" w:rsidRDefault="002977AB">
          <w:pPr>
            <w:pStyle w:val="TOC1"/>
            <w:tabs>
              <w:tab w:val="right" w:leader="dot" w:pos="9350"/>
            </w:tabs>
            <w:rPr>
              <w:noProof/>
            </w:rPr>
          </w:pPr>
          <w:hyperlink w:anchor="_Toc235439981" w:history="1">
            <w:r w:rsidRPr="00FD06E9">
              <w:rPr>
                <w:rStyle w:val="Hyperlink"/>
                <w:noProof/>
              </w:rPr>
              <w:t>7. Exceptions &amp; Escalation</w:t>
            </w:r>
            <w:r>
              <w:rPr>
                <w:noProof/>
              </w:rPr>
              <w:tab/>
            </w:r>
            <w:r>
              <w:rPr>
                <w:noProof/>
              </w:rPr>
              <w:fldChar w:fldCharType="begin"/>
            </w:r>
            <w:r>
              <w:rPr>
                <w:noProof/>
              </w:rPr>
              <w:instrText xml:space="preserve"> PAGEREF _Toc235439981 \h </w:instrText>
            </w:r>
            <w:r>
              <w:rPr>
                <w:noProof/>
              </w:rPr>
            </w:r>
            <w:r>
              <w:rPr>
                <w:noProof/>
              </w:rPr>
              <w:fldChar w:fldCharType="separate"/>
            </w:r>
            <w:r>
              <w:rPr>
                <w:noProof/>
              </w:rPr>
              <w:t>1</w:t>
            </w:r>
            <w:r>
              <w:rPr>
                <w:noProof/>
              </w:rPr>
              <w:fldChar w:fldCharType="end"/>
            </w:r>
          </w:hyperlink>
        </w:p>
        <w:p w14:paraId="21A186B1" w14:textId="77777777" w:rsidR="002977AB" w:rsidRDefault="002977AB">
          <w:pPr>
            <w:pStyle w:val="TOC1"/>
            <w:tabs>
              <w:tab w:val="right" w:leader="dot" w:pos="9350"/>
            </w:tabs>
            <w:rPr>
              <w:noProof/>
            </w:rPr>
          </w:pPr>
          <w:hyperlink w:anchor="_Toc235439982" w:history="1">
            <w:r w:rsidRPr="00FD06E9">
              <w:rPr>
                <w:rStyle w:val="Hyperlink"/>
                <w:noProof/>
              </w:rPr>
              <w:t>8. Compliance Monitoring &amp; Testing</w:t>
            </w:r>
            <w:r>
              <w:rPr>
                <w:noProof/>
              </w:rPr>
              <w:tab/>
            </w:r>
            <w:r>
              <w:rPr>
                <w:noProof/>
              </w:rPr>
              <w:fldChar w:fldCharType="begin"/>
            </w:r>
            <w:r>
              <w:rPr>
                <w:noProof/>
              </w:rPr>
              <w:instrText xml:space="preserve"> PAGEREF _Toc235439982 \h </w:instrText>
            </w:r>
            <w:r>
              <w:rPr>
                <w:noProof/>
              </w:rPr>
            </w:r>
            <w:r>
              <w:rPr>
                <w:noProof/>
              </w:rPr>
              <w:fldChar w:fldCharType="separate"/>
            </w:r>
            <w:r>
              <w:rPr>
                <w:noProof/>
              </w:rPr>
              <w:t>1</w:t>
            </w:r>
            <w:r>
              <w:rPr>
                <w:noProof/>
              </w:rPr>
              <w:fldChar w:fldCharType="end"/>
            </w:r>
          </w:hyperlink>
        </w:p>
        <w:p w14:paraId="4CB8E83A" w14:textId="77777777" w:rsidR="002977AB" w:rsidRDefault="002977AB">
          <w:pPr>
            <w:pStyle w:val="TOC2"/>
            <w:tabs>
              <w:tab w:val="right" w:leader="dot" w:pos="9350"/>
            </w:tabs>
            <w:rPr>
              <w:noProof/>
            </w:rPr>
          </w:pPr>
          <w:hyperlink w:anchor="_Toc235439983" w:history="1">
            <w:r w:rsidRPr="00FD06E9">
              <w:rPr>
                <w:rStyle w:val="Hyperlink"/>
                <w:noProof/>
              </w:rPr>
              <w:t>8.1 Key Metrics</w:t>
            </w:r>
            <w:r>
              <w:rPr>
                <w:noProof/>
              </w:rPr>
              <w:tab/>
            </w:r>
            <w:r>
              <w:rPr>
                <w:noProof/>
              </w:rPr>
              <w:fldChar w:fldCharType="begin"/>
            </w:r>
            <w:r>
              <w:rPr>
                <w:noProof/>
              </w:rPr>
              <w:instrText xml:space="preserve"> PAGEREF _Toc235439983 \h </w:instrText>
            </w:r>
            <w:r>
              <w:rPr>
                <w:noProof/>
              </w:rPr>
            </w:r>
            <w:r>
              <w:rPr>
                <w:noProof/>
              </w:rPr>
              <w:fldChar w:fldCharType="separate"/>
            </w:r>
            <w:r>
              <w:rPr>
                <w:noProof/>
              </w:rPr>
              <w:t>1</w:t>
            </w:r>
            <w:r>
              <w:rPr>
                <w:noProof/>
              </w:rPr>
              <w:fldChar w:fldCharType="end"/>
            </w:r>
          </w:hyperlink>
        </w:p>
        <w:p w14:paraId="6CB1CE30" w14:textId="77777777" w:rsidR="002977AB" w:rsidRDefault="002977AB">
          <w:pPr>
            <w:pStyle w:val="TOC1"/>
            <w:tabs>
              <w:tab w:val="right" w:leader="dot" w:pos="9350"/>
            </w:tabs>
            <w:rPr>
              <w:noProof/>
            </w:rPr>
          </w:pPr>
          <w:hyperlink w:anchor="_Toc235439984" w:history="1">
            <w:r w:rsidRPr="00FD06E9">
              <w:rPr>
                <w:rStyle w:val="Hyperlink"/>
                <w:noProof/>
              </w:rPr>
              <w:t>9. Related Policies &amp; References</w:t>
            </w:r>
            <w:r>
              <w:rPr>
                <w:noProof/>
              </w:rPr>
              <w:tab/>
            </w:r>
            <w:r>
              <w:rPr>
                <w:noProof/>
              </w:rPr>
              <w:fldChar w:fldCharType="begin"/>
            </w:r>
            <w:r>
              <w:rPr>
                <w:noProof/>
              </w:rPr>
              <w:instrText xml:space="preserve"> PAGEREF _Toc235439984 \h </w:instrText>
            </w:r>
            <w:r>
              <w:rPr>
                <w:noProof/>
              </w:rPr>
            </w:r>
            <w:r>
              <w:rPr>
                <w:noProof/>
              </w:rPr>
              <w:fldChar w:fldCharType="separate"/>
            </w:r>
            <w:r>
              <w:rPr>
                <w:noProof/>
              </w:rPr>
              <w:t>1</w:t>
            </w:r>
            <w:r>
              <w:rPr>
                <w:noProof/>
              </w:rPr>
              <w:fldChar w:fldCharType="end"/>
            </w:r>
          </w:hyperlink>
        </w:p>
        <w:p w14:paraId="7C3FEE76" w14:textId="77777777" w:rsidR="002977AB" w:rsidRDefault="002977AB">
          <w:pPr>
            <w:pStyle w:val="TOC1"/>
            <w:tabs>
              <w:tab w:val="right" w:leader="dot" w:pos="9350"/>
            </w:tabs>
            <w:rPr>
              <w:noProof/>
            </w:rPr>
          </w:pPr>
          <w:hyperlink w:anchor="_Toc235439985" w:history="1">
            <w:r w:rsidRPr="00FD06E9">
              <w:rPr>
                <w:rStyle w:val="Hyperlink"/>
                <w:noProof/>
              </w:rPr>
              <w:t>10. Appendices</w:t>
            </w:r>
            <w:r>
              <w:rPr>
                <w:noProof/>
              </w:rPr>
              <w:tab/>
            </w:r>
            <w:r>
              <w:rPr>
                <w:noProof/>
              </w:rPr>
              <w:fldChar w:fldCharType="begin"/>
            </w:r>
            <w:r>
              <w:rPr>
                <w:noProof/>
              </w:rPr>
              <w:instrText xml:space="preserve"> PAGEREF _Toc235439985 \h </w:instrText>
            </w:r>
            <w:r>
              <w:rPr>
                <w:noProof/>
              </w:rPr>
            </w:r>
            <w:r>
              <w:rPr>
                <w:noProof/>
              </w:rPr>
              <w:fldChar w:fldCharType="separate"/>
            </w:r>
            <w:r>
              <w:rPr>
                <w:noProof/>
              </w:rPr>
              <w:t>1</w:t>
            </w:r>
            <w:r>
              <w:rPr>
                <w:noProof/>
              </w:rPr>
              <w:fldChar w:fldCharType="end"/>
            </w:r>
          </w:hyperlink>
        </w:p>
        <w:p w14:paraId="3BAC1BC7" w14:textId="77777777" w:rsidR="002977AB" w:rsidRDefault="002977AB">
          <w:pPr>
            <w:pStyle w:val="TOC2"/>
            <w:tabs>
              <w:tab w:val="right" w:leader="dot" w:pos="9350"/>
            </w:tabs>
            <w:rPr>
              <w:noProof/>
            </w:rPr>
          </w:pPr>
          <w:hyperlink w:anchor="_Toc235439986" w:history="1">
            <w:r w:rsidRPr="00FD06E9">
              <w:rPr>
                <w:rStyle w:val="Hyperlink"/>
                <w:noProof/>
              </w:rPr>
              <w:t>Appendix A — Product-to-Mineral Mapping</w:t>
            </w:r>
            <w:r>
              <w:rPr>
                <w:noProof/>
              </w:rPr>
              <w:tab/>
            </w:r>
            <w:r>
              <w:rPr>
                <w:noProof/>
              </w:rPr>
              <w:fldChar w:fldCharType="begin"/>
            </w:r>
            <w:r>
              <w:rPr>
                <w:noProof/>
              </w:rPr>
              <w:instrText xml:space="preserve"> PAGEREF _Toc235439986 \h </w:instrText>
            </w:r>
            <w:r>
              <w:rPr>
                <w:noProof/>
              </w:rPr>
            </w:r>
            <w:r>
              <w:rPr>
                <w:noProof/>
              </w:rPr>
              <w:fldChar w:fldCharType="separate"/>
            </w:r>
            <w:r>
              <w:rPr>
                <w:noProof/>
              </w:rPr>
              <w:t>1</w:t>
            </w:r>
            <w:r>
              <w:rPr>
                <w:noProof/>
              </w:rPr>
              <w:fldChar w:fldCharType="end"/>
            </w:r>
          </w:hyperlink>
        </w:p>
        <w:p w14:paraId="54B28552" w14:textId="77777777" w:rsidR="002977AB" w:rsidRDefault="002977AB">
          <w:pPr>
            <w:pStyle w:val="TOC2"/>
            <w:tabs>
              <w:tab w:val="right" w:leader="dot" w:pos="9350"/>
            </w:tabs>
            <w:rPr>
              <w:noProof/>
            </w:rPr>
          </w:pPr>
          <w:hyperlink w:anchor="_Toc235439987" w:history="1">
            <w:r w:rsidRPr="00FD06E9">
              <w:rPr>
                <w:rStyle w:val="Hyperlink"/>
                <w:noProof/>
              </w:rPr>
              <w:t>Appendix B — CMRT Response Tracking</w:t>
            </w:r>
            <w:r>
              <w:rPr>
                <w:noProof/>
              </w:rPr>
              <w:tab/>
            </w:r>
            <w:r>
              <w:rPr>
                <w:noProof/>
              </w:rPr>
              <w:fldChar w:fldCharType="begin"/>
            </w:r>
            <w:r>
              <w:rPr>
                <w:noProof/>
              </w:rPr>
              <w:instrText xml:space="preserve"> PAGEREF _Toc235439987 \h </w:instrText>
            </w:r>
            <w:r>
              <w:rPr>
                <w:noProof/>
              </w:rPr>
            </w:r>
            <w:r>
              <w:rPr>
                <w:noProof/>
              </w:rPr>
              <w:fldChar w:fldCharType="separate"/>
            </w:r>
            <w:r>
              <w:rPr>
                <w:noProof/>
              </w:rPr>
              <w:t>1</w:t>
            </w:r>
            <w:r>
              <w:rPr>
                <w:noProof/>
              </w:rPr>
              <w:fldChar w:fldCharType="end"/>
            </w:r>
          </w:hyperlink>
        </w:p>
        <w:p w14:paraId="5FB1876F" w14:textId="77777777" w:rsidR="002977AB" w:rsidRDefault="002977AB">
          <w:pPr>
            <w:pStyle w:val="TOC1"/>
            <w:tabs>
              <w:tab w:val="right" w:leader="dot" w:pos="9350"/>
            </w:tabs>
            <w:rPr>
              <w:noProof/>
            </w:rPr>
          </w:pPr>
          <w:hyperlink w:anchor="_Toc235439988" w:history="1">
            <w:r w:rsidRPr="00FD06E9">
              <w:rPr>
                <w:rStyle w:val="Hyperlink"/>
                <w:noProof/>
              </w:rPr>
              <w:t>Revision History</w:t>
            </w:r>
            <w:r>
              <w:rPr>
                <w:noProof/>
              </w:rPr>
              <w:tab/>
            </w:r>
            <w:r>
              <w:rPr>
                <w:noProof/>
              </w:rPr>
              <w:fldChar w:fldCharType="begin"/>
            </w:r>
            <w:r>
              <w:rPr>
                <w:noProof/>
              </w:rPr>
              <w:instrText xml:space="preserve"> PAGEREF _Toc235439988 \h </w:instrText>
            </w:r>
            <w:r>
              <w:rPr>
                <w:noProof/>
              </w:rPr>
            </w:r>
            <w:r>
              <w:rPr>
                <w:noProof/>
              </w:rPr>
              <w:fldChar w:fldCharType="separate"/>
            </w:r>
            <w:r>
              <w:rPr>
                <w:noProof/>
              </w:rPr>
              <w:t>1</w:t>
            </w:r>
            <w:r>
              <w:rPr>
                <w:noProof/>
              </w:rPr>
              <w:fldChar w:fldCharType="end"/>
            </w:r>
          </w:hyperlink>
        </w:p>
        <w:p w14:paraId="38A595B3" w14:textId="77777777" w:rsidR="00143F29" w:rsidRDefault="00000000">
          <w:r>
            <w:fldChar w:fldCharType="end"/>
          </w:r>
        </w:p>
      </w:sdtContent>
    </w:sdt>
    <w:p w14:paraId="436CCED7" w14:textId="77777777" w:rsidR="00143F29" w:rsidRDefault="00000000">
      <w:r>
        <w:br w:type="page"/>
      </w:r>
    </w:p>
    <w:p w14:paraId="4047EDA4" w14:textId="77777777" w:rsidR="00143F29" w:rsidRDefault="00000000">
      <w:pPr>
        <w:pStyle w:val="Heading1"/>
        <w:pBdr>
          <w:bottom w:val="single" w:sz="4" w:space="0" w:color="D4AF37"/>
        </w:pBdr>
        <w:spacing w:before="400" w:after="200"/>
      </w:pPr>
      <w:bookmarkStart w:id="1" w:name="_Toc235439964"/>
      <w:r>
        <w:lastRenderedPageBreak/>
        <w:t>1. Purpose &amp; Scope</w:t>
      </w:r>
      <w:bookmarkEnd w:id="1"/>
    </w:p>
    <w:p w14:paraId="227476C2" w14:textId="77777777" w:rsidR="00143F29" w:rsidRDefault="00000000">
      <w:pPr>
        <w:spacing w:after="150"/>
        <w:jc w:val="both"/>
      </w:pPr>
      <w:r>
        <w:rPr>
          <w:color w:val="333333"/>
        </w:rPr>
        <w:t>This Conflict Minerals and Supply Chain Due Diligence (Finance) Policy establishes the standards, procedures, and financial controls governing [Company Name]'s compliance with SEC Rule 13p-1 (Conflict Minerals) and the European Union Conflict Minerals Regulation. The policy focuses on the finance function's role in supply chain due diligence, Form SD filing, and the financial reporting implications of conflict minerals compliance.</w:t>
      </w:r>
    </w:p>
    <w:p w14:paraId="68FCC392" w14:textId="77777777" w:rsidR="00143F29" w:rsidRDefault="00000000">
      <w:pPr>
        <w:spacing w:after="150"/>
        <w:jc w:val="both"/>
      </w:pPr>
      <w:r>
        <w:rPr>
          <w:color w:val="333333"/>
        </w:rPr>
        <w:t>This policy applies to all products manufactured or contracted to be manufactured by [Company Name] that contain tin, tantalum, tungsten, or gold (3TG) — the designated conflict minerals. It covers the entire supply chain from raw material sourcing through finished product delivery.</w:t>
      </w:r>
    </w:p>
    <w:p w14:paraId="43E7A2BD" w14:textId="77777777" w:rsidR="00143F29" w:rsidRDefault="00000000">
      <w:pPr>
        <w:pStyle w:val="Heading2"/>
        <w:spacing w:before="300" w:after="150"/>
      </w:pPr>
      <w:bookmarkStart w:id="2" w:name="_Toc235439965"/>
      <w:r>
        <w:t>1.1 Objectives</w:t>
      </w:r>
      <w:bookmarkEnd w:id="2"/>
    </w:p>
    <w:p w14:paraId="285AF950" w14:textId="77777777" w:rsidR="00143F29" w:rsidRDefault="00000000">
      <w:pPr>
        <w:spacing w:after="80"/>
        <w:ind w:left="720"/>
      </w:pPr>
      <w:r>
        <w:rPr>
          <w:color w:val="D4AF37"/>
        </w:rPr>
        <w:t xml:space="preserve">•  </w:t>
      </w:r>
      <w:r>
        <w:rPr>
          <w:color w:val="333333"/>
        </w:rPr>
        <w:t>Comply with SEC Rule 13p-1 and file Form SD (and Conflict Minerals Report if required) by the annual deadline</w:t>
      </w:r>
    </w:p>
    <w:p w14:paraId="451B44EF" w14:textId="77777777" w:rsidR="00143F29" w:rsidRDefault="00000000">
      <w:pPr>
        <w:spacing w:after="80"/>
        <w:ind w:left="720"/>
      </w:pPr>
      <w:r>
        <w:rPr>
          <w:color w:val="D4AF37"/>
        </w:rPr>
        <w:t xml:space="preserve">•  </w:t>
      </w:r>
      <w:r>
        <w:rPr>
          <w:color w:val="333333"/>
        </w:rPr>
        <w:t>Conduct reasonable country of origin inquiry (RCOI) for 3TG minerals in products</w:t>
      </w:r>
    </w:p>
    <w:p w14:paraId="42305A9E" w14:textId="77777777" w:rsidR="00143F29" w:rsidRDefault="00000000">
      <w:pPr>
        <w:spacing w:after="80"/>
        <w:ind w:left="720"/>
      </w:pPr>
      <w:r>
        <w:rPr>
          <w:color w:val="D4AF37"/>
        </w:rPr>
        <w:t xml:space="preserve">•  </w:t>
      </w:r>
      <w:r>
        <w:rPr>
          <w:color w:val="333333"/>
        </w:rPr>
        <w:t>Exercise due diligence on the source and chain of custody of 3TG minerals per the OECD Due Diligence Guidance</w:t>
      </w:r>
    </w:p>
    <w:p w14:paraId="5411386A" w14:textId="77777777" w:rsidR="00143F29" w:rsidRDefault="00000000">
      <w:pPr>
        <w:spacing w:after="80"/>
        <w:ind w:left="720"/>
      </w:pPr>
      <w:r>
        <w:rPr>
          <w:color w:val="D4AF37"/>
        </w:rPr>
        <w:t xml:space="preserve">•  </w:t>
      </w:r>
      <w:r>
        <w:rPr>
          <w:color w:val="333333"/>
        </w:rPr>
        <w:t>Ensure proper financial statement disclosure of conflict minerals risks and compliance costs</w:t>
      </w:r>
    </w:p>
    <w:p w14:paraId="33AE0C41" w14:textId="77777777" w:rsidR="00143F29" w:rsidRDefault="00000000">
      <w:pPr>
        <w:spacing w:after="80"/>
        <w:ind w:left="720"/>
      </w:pPr>
      <w:r>
        <w:rPr>
          <w:color w:val="D4AF37"/>
        </w:rPr>
        <w:t xml:space="preserve">•  </w:t>
      </w:r>
      <w:r>
        <w:rPr>
          <w:color w:val="333333"/>
        </w:rPr>
        <w:t>Integrate conflict minerals due diligence into vendor management and procurement processes</w:t>
      </w:r>
    </w:p>
    <w:p w14:paraId="3718F9F9" w14:textId="77777777" w:rsidR="00143F29" w:rsidRDefault="00000000">
      <w:pPr>
        <w:spacing w:after="80"/>
        <w:ind w:left="720"/>
      </w:pPr>
      <w:r>
        <w:rPr>
          <w:color w:val="D4AF37"/>
        </w:rPr>
        <w:t xml:space="preserve">•  </w:t>
      </w:r>
      <w:r>
        <w:rPr>
          <w:color w:val="333333"/>
        </w:rPr>
        <w:t>Support responsible sourcing practices without creating unintended trade embargoes</w:t>
      </w:r>
    </w:p>
    <w:p w14:paraId="543A8F8F" w14:textId="77777777" w:rsidR="00143F29" w:rsidRDefault="00000000">
      <w:r>
        <w:br w:type="page"/>
      </w:r>
    </w:p>
    <w:p w14:paraId="65A25370" w14:textId="77777777" w:rsidR="00143F29" w:rsidRDefault="00000000">
      <w:pPr>
        <w:pStyle w:val="Heading1"/>
        <w:pBdr>
          <w:bottom w:val="single" w:sz="4" w:space="0" w:color="D4AF37"/>
        </w:pBdr>
        <w:spacing w:before="400" w:after="200"/>
      </w:pPr>
      <w:bookmarkStart w:id="3" w:name="_Toc235439966"/>
      <w:r>
        <w:lastRenderedPageBreak/>
        <w:t>2. Definitions</w:t>
      </w:r>
      <w:bookmarkEnd w:id="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39D74442" w14:textId="77777777">
        <w:tblPrEx>
          <w:tblCellMar>
            <w:top w:w="0" w:type="dxa"/>
            <w:bottom w:w="0" w:type="dxa"/>
          </w:tblCellMar>
        </w:tblPrEx>
        <w:tc>
          <w:tcPr>
            <w:tcW w:w="3200" w:type="dxa"/>
            <w:shd w:val="clear" w:color="auto" w:fill="0C0C0C"/>
          </w:tcPr>
          <w:p w14:paraId="1F67DE82" w14:textId="77777777" w:rsidR="00143F29" w:rsidRDefault="00000000">
            <w:pPr>
              <w:spacing w:before="60" w:after="60"/>
            </w:pPr>
            <w:r>
              <w:rPr>
                <w:b/>
                <w:bCs/>
                <w:color w:val="D4AF37"/>
                <w:sz w:val="20"/>
                <w:szCs w:val="20"/>
              </w:rPr>
              <w:t>Term</w:t>
            </w:r>
          </w:p>
        </w:tc>
        <w:tc>
          <w:tcPr>
            <w:tcW w:w="6160" w:type="dxa"/>
            <w:shd w:val="clear" w:color="auto" w:fill="0C0C0C"/>
          </w:tcPr>
          <w:p w14:paraId="6ECFED80" w14:textId="77777777" w:rsidR="00143F29" w:rsidRDefault="00000000">
            <w:pPr>
              <w:spacing w:before="60" w:after="60"/>
            </w:pPr>
            <w:r>
              <w:rPr>
                <w:b/>
                <w:bCs/>
                <w:color w:val="D4AF37"/>
                <w:sz w:val="20"/>
                <w:szCs w:val="20"/>
              </w:rPr>
              <w:t>Definition</w:t>
            </w:r>
          </w:p>
        </w:tc>
      </w:tr>
      <w:tr w:rsidR="00143F29" w14:paraId="075242AF" w14:textId="77777777">
        <w:tblPrEx>
          <w:tblCellMar>
            <w:top w:w="0" w:type="dxa"/>
            <w:bottom w:w="0" w:type="dxa"/>
          </w:tblCellMar>
        </w:tblPrEx>
        <w:tc>
          <w:tcPr>
            <w:tcW w:w="3200" w:type="dxa"/>
            <w:shd w:val="clear" w:color="auto" w:fill="FFFFFF"/>
          </w:tcPr>
          <w:p w14:paraId="12625C17" w14:textId="77777777" w:rsidR="00143F29" w:rsidRDefault="00000000">
            <w:pPr>
              <w:spacing w:before="60" w:after="60"/>
            </w:pPr>
            <w:r>
              <w:rPr>
                <w:color w:val="333333"/>
                <w:sz w:val="20"/>
                <w:szCs w:val="20"/>
              </w:rPr>
              <w:t>Conflict Minerals (3TG)</w:t>
            </w:r>
          </w:p>
        </w:tc>
        <w:tc>
          <w:tcPr>
            <w:tcW w:w="6160" w:type="dxa"/>
            <w:shd w:val="clear" w:color="auto" w:fill="FFFFFF"/>
          </w:tcPr>
          <w:p w14:paraId="6273961A" w14:textId="77777777" w:rsidR="00143F29" w:rsidRDefault="00000000">
            <w:pPr>
              <w:spacing w:before="60" w:after="60"/>
            </w:pPr>
            <w:r>
              <w:rPr>
                <w:color w:val="333333"/>
                <w:sz w:val="20"/>
                <w:szCs w:val="20"/>
              </w:rPr>
              <w:t>Tin, tantalum, tungsten, and gold — minerals designated under Section 1502 of the Dodd-Frank Act.</w:t>
            </w:r>
          </w:p>
        </w:tc>
      </w:tr>
      <w:tr w:rsidR="00143F29" w14:paraId="174B04B4" w14:textId="77777777">
        <w:tblPrEx>
          <w:tblCellMar>
            <w:top w:w="0" w:type="dxa"/>
            <w:bottom w:w="0" w:type="dxa"/>
          </w:tblCellMar>
        </w:tblPrEx>
        <w:tc>
          <w:tcPr>
            <w:tcW w:w="3200" w:type="dxa"/>
            <w:shd w:val="clear" w:color="auto" w:fill="F5F5F5"/>
          </w:tcPr>
          <w:p w14:paraId="79D4E1E0" w14:textId="77777777" w:rsidR="00143F29" w:rsidRDefault="00000000">
            <w:pPr>
              <w:spacing w:before="60" w:after="60"/>
            </w:pPr>
            <w:r>
              <w:rPr>
                <w:color w:val="333333"/>
                <w:sz w:val="20"/>
                <w:szCs w:val="20"/>
              </w:rPr>
              <w:t>Covered Countries</w:t>
            </w:r>
          </w:p>
        </w:tc>
        <w:tc>
          <w:tcPr>
            <w:tcW w:w="6160" w:type="dxa"/>
            <w:shd w:val="clear" w:color="auto" w:fill="F5F5F5"/>
          </w:tcPr>
          <w:p w14:paraId="76EA5851" w14:textId="77777777" w:rsidR="00143F29" w:rsidRDefault="00000000">
            <w:pPr>
              <w:spacing w:before="60" w:after="60"/>
            </w:pPr>
            <w:r>
              <w:rPr>
                <w:color w:val="333333"/>
                <w:sz w:val="20"/>
                <w:szCs w:val="20"/>
              </w:rPr>
              <w:t>The Democratic Republic of the Congo (DRC) and adjoining countries where armed groups may benefit from mineral extraction.</w:t>
            </w:r>
          </w:p>
        </w:tc>
      </w:tr>
      <w:tr w:rsidR="00143F29" w14:paraId="46FC1997" w14:textId="77777777">
        <w:tblPrEx>
          <w:tblCellMar>
            <w:top w:w="0" w:type="dxa"/>
            <w:bottom w:w="0" w:type="dxa"/>
          </w:tblCellMar>
        </w:tblPrEx>
        <w:tc>
          <w:tcPr>
            <w:tcW w:w="3200" w:type="dxa"/>
            <w:shd w:val="clear" w:color="auto" w:fill="FFFFFF"/>
          </w:tcPr>
          <w:p w14:paraId="340028CF" w14:textId="77777777" w:rsidR="00143F29" w:rsidRDefault="00000000">
            <w:pPr>
              <w:spacing w:before="60" w:after="60"/>
            </w:pPr>
            <w:r>
              <w:rPr>
                <w:color w:val="333333"/>
                <w:sz w:val="20"/>
                <w:szCs w:val="20"/>
              </w:rPr>
              <w:t>Form SD</w:t>
            </w:r>
          </w:p>
        </w:tc>
        <w:tc>
          <w:tcPr>
            <w:tcW w:w="6160" w:type="dxa"/>
            <w:shd w:val="clear" w:color="auto" w:fill="FFFFFF"/>
          </w:tcPr>
          <w:p w14:paraId="052A689E" w14:textId="77777777" w:rsidR="00143F29" w:rsidRDefault="00000000">
            <w:pPr>
              <w:spacing w:before="60" w:after="60"/>
            </w:pPr>
            <w:r>
              <w:rPr>
                <w:color w:val="333333"/>
                <w:sz w:val="20"/>
                <w:szCs w:val="20"/>
              </w:rPr>
              <w:t>The SEC form used to disclose conflict minerals information, filed annually.</w:t>
            </w:r>
          </w:p>
        </w:tc>
      </w:tr>
      <w:tr w:rsidR="00143F29" w14:paraId="48D91E9C" w14:textId="77777777">
        <w:tblPrEx>
          <w:tblCellMar>
            <w:top w:w="0" w:type="dxa"/>
            <w:bottom w:w="0" w:type="dxa"/>
          </w:tblCellMar>
        </w:tblPrEx>
        <w:tc>
          <w:tcPr>
            <w:tcW w:w="3200" w:type="dxa"/>
            <w:shd w:val="clear" w:color="auto" w:fill="F5F5F5"/>
          </w:tcPr>
          <w:p w14:paraId="506E856E" w14:textId="77777777" w:rsidR="00143F29" w:rsidRDefault="00000000">
            <w:pPr>
              <w:spacing w:before="60" w:after="60"/>
            </w:pPr>
            <w:r>
              <w:rPr>
                <w:color w:val="333333"/>
                <w:sz w:val="20"/>
                <w:szCs w:val="20"/>
              </w:rPr>
              <w:t>Conflict Minerals Report (CMR)</w:t>
            </w:r>
          </w:p>
        </w:tc>
        <w:tc>
          <w:tcPr>
            <w:tcW w:w="6160" w:type="dxa"/>
            <w:shd w:val="clear" w:color="auto" w:fill="F5F5F5"/>
          </w:tcPr>
          <w:p w14:paraId="3B01A30E" w14:textId="77777777" w:rsidR="00143F29" w:rsidRDefault="00000000">
            <w:pPr>
              <w:spacing w:before="60" w:after="60"/>
            </w:pPr>
            <w:r>
              <w:rPr>
                <w:color w:val="333333"/>
                <w:sz w:val="20"/>
                <w:szCs w:val="20"/>
              </w:rPr>
              <w:t>A report attached to Form SD describing the due diligence measures taken and the products that are DRC conflict-free, not DRC conflict-free, or of undetermined origin.</w:t>
            </w:r>
          </w:p>
        </w:tc>
      </w:tr>
      <w:tr w:rsidR="00143F29" w14:paraId="237FE69D" w14:textId="77777777">
        <w:tblPrEx>
          <w:tblCellMar>
            <w:top w:w="0" w:type="dxa"/>
            <w:bottom w:w="0" w:type="dxa"/>
          </w:tblCellMar>
        </w:tblPrEx>
        <w:tc>
          <w:tcPr>
            <w:tcW w:w="3200" w:type="dxa"/>
            <w:shd w:val="clear" w:color="auto" w:fill="FFFFFF"/>
          </w:tcPr>
          <w:p w14:paraId="4C782E4C" w14:textId="77777777" w:rsidR="00143F29" w:rsidRDefault="00000000">
            <w:pPr>
              <w:spacing w:before="60" w:after="60"/>
            </w:pPr>
            <w:r>
              <w:rPr>
                <w:color w:val="333333"/>
                <w:sz w:val="20"/>
                <w:szCs w:val="20"/>
              </w:rPr>
              <w:t>Reasonable Country of Origin Inquiry (RCOI)</w:t>
            </w:r>
          </w:p>
        </w:tc>
        <w:tc>
          <w:tcPr>
            <w:tcW w:w="6160" w:type="dxa"/>
            <w:shd w:val="clear" w:color="auto" w:fill="FFFFFF"/>
          </w:tcPr>
          <w:p w14:paraId="3994FB77" w14:textId="77777777" w:rsidR="00143F29" w:rsidRDefault="00000000">
            <w:pPr>
              <w:spacing w:before="60" w:after="60"/>
            </w:pPr>
            <w:r>
              <w:rPr>
                <w:color w:val="333333"/>
                <w:sz w:val="20"/>
                <w:szCs w:val="20"/>
              </w:rPr>
              <w:t>A good-faith inquiry to determine whether conflict minerals in products originated in covered countries or from recycled or scrap sources.</w:t>
            </w:r>
          </w:p>
        </w:tc>
      </w:tr>
      <w:tr w:rsidR="00143F29" w14:paraId="45FC5924" w14:textId="77777777">
        <w:tblPrEx>
          <w:tblCellMar>
            <w:top w:w="0" w:type="dxa"/>
            <w:bottom w:w="0" w:type="dxa"/>
          </w:tblCellMar>
        </w:tblPrEx>
        <w:tc>
          <w:tcPr>
            <w:tcW w:w="3200" w:type="dxa"/>
            <w:shd w:val="clear" w:color="auto" w:fill="F5F5F5"/>
          </w:tcPr>
          <w:p w14:paraId="7CBEDB77" w14:textId="77777777" w:rsidR="00143F29" w:rsidRDefault="00000000">
            <w:pPr>
              <w:spacing w:before="60" w:after="60"/>
            </w:pPr>
            <w:r>
              <w:rPr>
                <w:color w:val="333333"/>
                <w:sz w:val="20"/>
                <w:szCs w:val="20"/>
              </w:rPr>
              <w:t>OECD Due Diligence Guidance</w:t>
            </w:r>
          </w:p>
        </w:tc>
        <w:tc>
          <w:tcPr>
            <w:tcW w:w="6160" w:type="dxa"/>
            <w:shd w:val="clear" w:color="auto" w:fill="F5F5F5"/>
          </w:tcPr>
          <w:p w14:paraId="40F65A8B" w14:textId="77777777" w:rsidR="00143F29" w:rsidRDefault="00000000">
            <w:pPr>
              <w:spacing w:before="60" w:after="60"/>
            </w:pPr>
            <w:r>
              <w:rPr>
                <w:color w:val="333333"/>
                <w:sz w:val="20"/>
                <w:szCs w:val="20"/>
              </w:rPr>
              <w:t>The OECD framework for responsible supply chains of minerals from conflict-affected and high-risk areas — the recognized standard for conflict minerals due diligence.</w:t>
            </w:r>
          </w:p>
        </w:tc>
      </w:tr>
      <w:tr w:rsidR="00143F29" w14:paraId="11A239E4" w14:textId="77777777">
        <w:tblPrEx>
          <w:tblCellMar>
            <w:top w:w="0" w:type="dxa"/>
            <w:bottom w:w="0" w:type="dxa"/>
          </w:tblCellMar>
        </w:tblPrEx>
        <w:tc>
          <w:tcPr>
            <w:tcW w:w="3200" w:type="dxa"/>
            <w:shd w:val="clear" w:color="auto" w:fill="FFFFFF"/>
          </w:tcPr>
          <w:p w14:paraId="7CF4A153" w14:textId="77777777" w:rsidR="00143F29" w:rsidRDefault="00000000">
            <w:pPr>
              <w:spacing w:before="60" w:after="60"/>
            </w:pPr>
            <w:r>
              <w:rPr>
                <w:color w:val="333333"/>
                <w:sz w:val="20"/>
                <w:szCs w:val="20"/>
              </w:rPr>
              <w:t>Conflict Minerals Reporting Template (CMRT)</w:t>
            </w:r>
          </w:p>
        </w:tc>
        <w:tc>
          <w:tcPr>
            <w:tcW w:w="6160" w:type="dxa"/>
            <w:shd w:val="clear" w:color="auto" w:fill="FFFFFF"/>
          </w:tcPr>
          <w:p w14:paraId="4FDDF8E5" w14:textId="77777777" w:rsidR="00143F29" w:rsidRDefault="00000000">
            <w:pPr>
              <w:spacing w:before="60" w:after="60"/>
            </w:pPr>
            <w:r>
              <w:rPr>
                <w:color w:val="333333"/>
                <w:sz w:val="20"/>
                <w:szCs w:val="20"/>
              </w:rPr>
              <w:t>The standardized template (developed by the Responsible Minerals Initiative) used to collect supply chain information from suppliers about 3TG sourcing.</w:t>
            </w:r>
          </w:p>
        </w:tc>
      </w:tr>
      <w:tr w:rsidR="00143F29" w14:paraId="7FF09204" w14:textId="77777777">
        <w:tblPrEx>
          <w:tblCellMar>
            <w:top w:w="0" w:type="dxa"/>
            <w:bottom w:w="0" w:type="dxa"/>
          </w:tblCellMar>
        </w:tblPrEx>
        <w:tc>
          <w:tcPr>
            <w:tcW w:w="3200" w:type="dxa"/>
            <w:shd w:val="clear" w:color="auto" w:fill="F5F5F5"/>
          </w:tcPr>
          <w:p w14:paraId="1793AB5C" w14:textId="77777777" w:rsidR="00143F29" w:rsidRDefault="00000000">
            <w:pPr>
              <w:spacing w:before="60" w:after="60"/>
            </w:pPr>
            <w:r>
              <w:rPr>
                <w:color w:val="333333"/>
                <w:sz w:val="20"/>
                <w:szCs w:val="20"/>
              </w:rPr>
              <w:t>Smelter/Refiner</w:t>
            </w:r>
          </w:p>
        </w:tc>
        <w:tc>
          <w:tcPr>
            <w:tcW w:w="6160" w:type="dxa"/>
            <w:shd w:val="clear" w:color="auto" w:fill="F5F5F5"/>
          </w:tcPr>
          <w:p w14:paraId="17219F7F" w14:textId="77777777" w:rsidR="00143F29" w:rsidRDefault="00000000">
            <w:pPr>
              <w:spacing w:before="60" w:after="60"/>
            </w:pPr>
            <w:r>
              <w:rPr>
                <w:color w:val="333333"/>
                <w:sz w:val="20"/>
                <w:szCs w:val="20"/>
              </w:rPr>
              <w:t>The point in the supply chain where minerals are processed — the critical link for traceability since raw minerals lose their identity after processing.</w:t>
            </w:r>
          </w:p>
        </w:tc>
      </w:tr>
      <w:tr w:rsidR="00143F29" w14:paraId="4669610E" w14:textId="77777777">
        <w:tblPrEx>
          <w:tblCellMar>
            <w:top w:w="0" w:type="dxa"/>
            <w:bottom w:w="0" w:type="dxa"/>
          </w:tblCellMar>
        </w:tblPrEx>
        <w:tc>
          <w:tcPr>
            <w:tcW w:w="3200" w:type="dxa"/>
            <w:shd w:val="clear" w:color="auto" w:fill="FFFFFF"/>
          </w:tcPr>
          <w:p w14:paraId="4B1E9D36" w14:textId="77777777" w:rsidR="00143F29" w:rsidRDefault="00000000">
            <w:pPr>
              <w:spacing w:before="60" w:after="60"/>
            </w:pPr>
            <w:r>
              <w:rPr>
                <w:color w:val="333333"/>
                <w:sz w:val="20"/>
                <w:szCs w:val="20"/>
              </w:rPr>
              <w:t>Responsible Minerals Initiative (RMI)</w:t>
            </w:r>
          </w:p>
        </w:tc>
        <w:tc>
          <w:tcPr>
            <w:tcW w:w="6160" w:type="dxa"/>
            <w:shd w:val="clear" w:color="auto" w:fill="FFFFFF"/>
          </w:tcPr>
          <w:p w14:paraId="708200E6" w14:textId="77777777" w:rsidR="00143F29" w:rsidRDefault="00000000">
            <w:pPr>
              <w:spacing w:before="60" w:after="60"/>
            </w:pPr>
            <w:r>
              <w:rPr>
                <w:color w:val="333333"/>
                <w:sz w:val="20"/>
                <w:szCs w:val="20"/>
              </w:rPr>
              <w:t>An industry organization that validates smelters and refiners as conflict-free through its Responsible Minerals Assurance Process (RMAP).</w:t>
            </w:r>
          </w:p>
        </w:tc>
      </w:tr>
      <w:tr w:rsidR="00143F29" w14:paraId="015F34F5" w14:textId="77777777">
        <w:tblPrEx>
          <w:tblCellMar>
            <w:top w:w="0" w:type="dxa"/>
            <w:bottom w:w="0" w:type="dxa"/>
          </w:tblCellMar>
        </w:tblPrEx>
        <w:tc>
          <w:tcPr>
            <w:tcW w:w="3200" w:type="dxa"/>
            <w:shd w:val="clear" w:color="auto" w:fill="F5F5F5"/>
          </w:tcPr>
          <w:p w14:paraId="53BD2655" w14:textId="77777777" w:rsidR="00143F29" w:rsidRDefault="00000000">
            <w:pPr>
              <w:spacing w:before="60" w:after="60"/>
            </w:pPr>
            <w:r>
              <w:rPr>
                <w:color w:val="333333"/>
                <w:sz w:val="20"/>
                <w:szCs w:val="20"/>
              </w:rPr>
              <w:t>DRC Conflict-Free</w:t>
            </w:r>
          </w:p>
        </w:tc>
        <w:tc>
          <w:tcPr>
            <w:tcW w:w="6160" w:type="dxa"/>
            <w:shd w:val="clear" w:color="auto" w:fill="F5F5F5"/>
          </w:tcPr>
          <w:p w14:paraId="1A747953" w14:textId="77777777" w:rsidR="00143F29" w:rsidRDefault="00000000">
            <w:pPr>
              <w:spacing w:before="60" w:after="60"/>
            </w:pPr>
            <w:r>
              <w:rPr>
                <w:color w:val="333333"/>
                <w:sz w:val="20"/>
                <w:szCs w:val="20"/>
              </w:rPr>
              <w:t>Products that do not contain conflict minerals that directly or indirectly financed or benefited armed groups in covered countries.</w:t>
            </w:r>
          </w:p>
        </w:tc>
      </w:tr>
    </w:tbl>
    <w:p w14:paraId="3C7F3947" w14:textId="77777777" w:rsidR="00143F29" w:rsidRDefault="00000000">
      <w:r>
        <w:br w:type="page"/>
      </w:r>
    </w:p>
    <w:p w14:paraId="77C51AF4" w14:textId="77777777" w:rsidR="00143F29" w:rsidRDefault="00000000">
      <w:pPr>
        <w:pStyle w:val="Heading1"/>
        <w:pBdr>
          <w:bottom w:val="single" w:sz="4" w:space="0" w:color="D4AF37"/>
        </w:pBdr>
        <w:spacing w:before="400" w:after="200"/>
      </w:pPr>
      <w:bookmarkStart w:id="4" w:name="_Toc235439967"/>
      <w:r>
        <w:lastRenderedPageBreak/>
        <w:t>3. Policy Statements</w:t>
      </w:r>
      <w:bookmarkEnd w:id="4"/>
    </w:p>
    <w:p w14:paraId="5FA7F6DA" w14:textId="77777777" w:rsidR="00143F29" w:rsidRDefault="00000000">
      <w:pPr>
        <w:pStyle w:val="Heading2"/>
        <w:spacing w:before="300" w:after="150"/>
      </w:pPr>
      <w:bookmarkStart w:id="5" w:name="_Toc235439968"/>
      <w:r>
        <w:t>3.1 Applicability Assessment</w:t>
      </w:r>
      <w:bookmarkEnd w:id="5"/>
    </w:p>
    <w:p w14:paraId="49B5FEE8" w14:textId="77777777" w:rsidR="00143F29" w:rsidRDefault="00000000">
      <w:pPr>
        <w:spacing w:after="150"/>
        <w:jc w:val="both"/>
      </w:pPr>
      <w:r>
        <w:rPr>
          <w:color w:val="333333"/>
        </w:rPr>
        <w:t>[Company Name] shall assess whether it is subject to SEC Rule 13p-1 by determining: whether it files reports with the SEC under Section 13(a) or 15(d) of the Exchange Act, whether conflict minerals are necessary to the functionality or production of any product manufactured or contracted to be manufactured by [Company Name], and whether the conflict minerals are contained in products rather than merely used in a manufacturing process. The Controller shall document the applicability assessment annually. If [Company Name] is not a product manufacturer, the policy documents the assessment supporting the conclusion that Rule 13p-1 does not apply.</w:t>
      </w:r>
    </w:p>
    <w:p w14:paraId="6600F1D5" w14:textId="77777777" w:rsidR="00143F29" w:rsidRDefault="00000000">
      <w:pPr>
        <w:pStyle w:val="Heading2"/>
        <w:spacing w:before="300" w:after="150"/>
      </w:pPr>
      <w:bookmarkStart w:id="6" w:name="_Toc235439969"/>
      <w:r>
        <w:t>3.2 Reasonable Country of Origin Inquiry</w:t>
      </w:r>
      <w:bookmarkEnd w:id="6"/>
    </w:p>
    <w:p w14:paraId="4D4A5344" w14:textId="77777777" w:rsidR="00143F29" w:rsidRDefault="00000000">
      <w:pPr>
        <w:spacing w:after="150"/>
        <w:jc w:val="both"/>
      </w:pPr>
      <w:r>
        <w:rPr>
          <w:color w:val="333333"/>
        </w:rPr>
        <w:t>If Rule 13p-1 applies, [Company Name] shall conduct an RCOI to determine whether any 3TG minerals originated in covered countries or from recycled/scrap sources. The RCOI shall include: distributing the Conflict Minerals Reporting Template (CMRT) to all suppliers of products or components containing 3TG, collecting and reviewing supplier responses, following up on incomplete or inconsistent responses, comparing reported smelters/refiners against the RMI conformant smelter list, and documenting the RCOI methodology and results.</w:t>
      </w:r>
    </w:p>
    <w:p w14:paraId="37693E35" w14:textId="77777777" w:rsidR="00143F29" w:rsidRDefault="00000000">
      <w:pPr>
        <w:pStyle w:val="Heading2"/>
        <w:spacing w:before="300" w:after="150"/>
      </w:pPr>
      <w:bookmarkStart w:id="7" w:name="_Toc235439970"/>
      <w:r>
        <w:t>3.3 Due Diligence</w:t>
      </w:r>
      <w:bookmarkEnd w:id="7"/>
    </w:p>
    <w:p w14:paraId="5B843D4F" w14:textId="77777777" w:rsidR="00143F29" w:rsidRDefault="00000000">
      <w:pPr>
        <w:spacing w:after="150"/>
        <w:jc w:val="both"/>
      </w:pPr>
      <w:r>
        <w:rPr>
          <w:color w:val="333333"/>
        </w:rPr>
        <w:t>If the RCOI indicates that 3TG minerals may have originated in covered countries (or if the country of origin cannot be determined), [Company Name] shall exercise due diligence on the source and chain of custody per the OECD framework:</w:t>
      </w:r>
    </w:p>
    <w:p w14:paraId="7B30F988" w14:textId="77777777" w:rsidR="00143F29" w:rsidRDefault="00000000">
      <w:pPr>
        <w:spacing w:after="80"/>
        <w:ind w:left="720"/>
      </w:pPr>
      <w:r>
        <w:rPr>
          <w:b/>
          <w:bCs/>
          <w:color w:val="D4AF37"/>
        </w:rPr>
        <w:t xml:space="preserve">1.  </w:t>
      </w:r>
      <w:r>
        <w:rPr>
          <w:color w:val="333333"/>
        </w:rPr>
        <w:t>Establish strong company management systems (policy, team, grievance mechanism)</w:t>
      </w:r>
    </w:p>
    <w:p w14:paraId="20E1BD96" w14:textId="77777777" w:rsidR="00143F29" w:rsidRDefault="00000000">
      <w:pPr>
        <w:spacing w:after="80"/>
        <w:ind w:left="720"/>
      </w:pPr>
      <w:r>
        <w:rPr>
          <w:b/>
          <w:bCs/>
          <w:color w:val="D4AF37"/>
        </w:rPr>
        <w:t xml:space="preserve">2.  </w:t>
      </w:r>
      <w:r>
        <w:rPr>
          <w:color w:val="333333"/>
        </w:rPr>
        <w:t>Identify and assess risks in the supply chain</w:t>
      </w:r>
    </w:p>
    <w:p w14:paraId="0F32DB9E" w14:textId="77777777" w:rsidR="00143F29" w:rsidRDefault="00000000">
      <w:pPr>
        <w:spacing w:after="80"/>
        <w:ind w:left="720"/>
      </w:pPr>
      <w:r>
        <w:rPr>
          <w:b/>
          <w:bCs/>
          <w:color w:val="D4AF37"/>
        </w:rPr>
        <w:t xml:space="preserve">3.  </w:t>
      </w:r>
      <w:r>
        <w:rPr>
          <w:color w:val="333333"/>
        </w:rPr>
        <w:t>Design and implement a strategy to respond to identified risks</w:t>
      </w:r>
    </w:p>
    <w:p w14:paraId="2D1FF1C0" w14:textId="77777777" w:rsidR="00143F29" w:rsidRDefault="00000000">
      <w:pPr>
        <w:spacing w:after="80"/>
        <w:ind w:left="720"/>
      </w:pPr>
      <w:r>
        <w:rPr>
          <w:b/>
          <w:bCs/>
          <w:color w:val="D4AF37"/>
        </w:rPr>
        <w:t xml:space="preserve">4.  </w:t>
      </w:r>
      <w:r>
        <w:rPr>
          <w:color w:val="333333"/>
        </w:rPr>
        <w:t>Carry out an independent third-party audit of supply chain due diligence</w:t>
      </w:r>
    </w:p>
    <w:p w14:paraId="3D8A12D0" w14:textId="77777777" w:rsidR="00143F29" w:rsidRDefault="00000000">
      <w:pPr>
        <w:spacing w:after="80"/>
        <w:ind w:left="720"/>
      </w:pPr>
      <w:r>
        <w:rPr>
          <w:b/>
          <w:bCs/>
          <w:color w:val="D4AF37"/>
        </w:rPr>
        <w:t xml:space="preserve">5.  </w:t>
      </w:r>
      <w:r>
        <w:rPr>
          <w:color w:val="333333"/>
        </w:rPr>
        <w:t>Report annually on supply chain due diligence (Form SD and CMR)</w:t>
      </w:r>
    </w:p>
    <w:p w14:paraId="75009B03" w14:textId="77777777" w:rsidR="00143F29" w:rsidRDefault="00000000">
      <w:pPr>
        <w:pStyle w:val="Heading2"/>
        <w:spacing w:before="300" w:after="150"/>
      </w:pPr>
      <w:bookmarkStart w:id="8" w:name="_Toc235439971"/>
      <w:r>
        <w:t>3.4 Supplier Engagement</w:t>
      </w:r>
      <w:bookmarkEnd w:id="8"/>
    </w:p>
    <w:p w14:paraId="3347C00C" w14:textId="77777777" w:rsidR="00143F29" w:rsidRDefault="00000000">
      <w:pPr>
        <w:spacing w:after="150"/>
        <w:jc w:val="both"/>
      </w:pPr>
      <w:r>
        <w:rPr>
          <w:color w:val="333333"/>
        </w:rPr>
        <w:t>Conflict minerals compliance depends on supplier cooperation. [Company Name] shall: include conflict minerals compliance requirements in supplier contracts and the supplier code of conduct, require suppliers to complete the CMRT annually, escalate non-responsive suppliers through procurement for engagement, and consider supplier conflict minerals performance in sourcing decisions.</w:t>
      </w:r>
    </w:p>
    <w:p w14:paraId="629F4CDF" w14:textId="77777777" w:rsidR="00143F29" w:rsidRDefault="00000000">
      <w:pPr>
        <w:pStyle w:val="Heading2"/>
        <w:spacing w:before="300" w:after="150"/>
      </w:pPr>
      <w:bookmarkStart w:id="9" w:name="_Toc235439972"/>
      <w:r>
        <w:t>3.5 Financial Reporting</w:t>
      </w:r>
      <w:bookmarkEnd w:id="9"/>
    </w:p>
    <w:p w14:paraId="1984A2E0" w14:textId="67206EE6" w:rsidR="00143F29" w:rsidRDefault="00000000" w:rsidP="002977AB">
      <w:pPr>
        <w:spacing w:after="150"/>
        <w:jc w:val="both"/>
      </w:pPr>
      <w:r>
        <w:rPr>
          <w:color w:val="333333"/>
        </w:rPr>
        <w:t>The Controller shall ensure that: Form SD is filed with the SEC by the annual deadline (May 31 for calendar-year filers), conflict minerals compliance costs are properly recorded as period expenses, any material supply chain risks related to conflict minerals are evaluated for disclosure in risk factors and MD&amp;A, and the Independent Private Sector Audit (IPSA) of the CMR is obtained if required (currently not required per SEC guidance, but may be reinstated).</w:t>
      </w:r>
    </w:p>
    <w:p w14:paraId="10692E10" w14:textId="77777777" w:rsidR="00143F29" w:rsidRDefault="00000000">
      <w:pPr>
        <w:pStyle w:val="Heading1"/>
        <w:pBdr>
          <w:bottom w:val="single" w:sz="4" w:space="0" w:color="D4AF37"/>
        </w:pBdr>
        <w:spacing w:before="400" w:after="200"/>
      </w:pPr>
      <w:bookmarkStart w:id="10" w:name="_Toc235439973"/>
      <w:r>
        <w:lastRenderedPageBreak/>
        <w:t>4. Roles &amp; Responsibilities</w:t>
      </w:r>
      <w:bookmarkEnd w:id="1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0B86BF06" w14:textId="77777777">
        <w:tblPrEx>
          <w:tblCellMar>
            <w:top w:w="0" w:type="dxa"/>
            <w:bottom w:w="0" w:type="dxa"/>
          </w:tblCellMar>
        </w:tblPrEx>
        <w:tc>
          <w:tcPr>
            <w:tcW w:w="3200" w:type="dxa"/>
            <w:shd w:val="clear" w:color="auto" w:fill="0C0C0C"/>
          </w:tcPr>
          <w:p w14:paraId="2E18E89E" w14:textId="77777777" w:rsidR="00143F29" w:rsidRDefault="00000000">
            <w:pPr>
              <w:spacing w:before="60" w:after="60"/>
            </w:pPr>
            <w:r>
              <w:rPr>
                <w:b/>
                <w:bCs/>
                <w:color w:val="D4AF37"/>
                <w:sz w:val="20"/>
                <w:szCs w:val="20"/>
              </w:rPr>
              <w:t>Role</w:t>
            </w:r>
          </w:p>
        </w:tc>
        <w:tc>
          <w:tcPr>
            <w:tcW w:w="6160" w:type="dxa"/>
            <w:shd w:val="clear" w:color="auto" w:fill="0C0C0C"/>
          </w:tcPr>
          <w:p w14:paraId="0CA0AFD9" w14:textId="77777777" w:rsidR="00143F29" w:rsidRDefault="00000000">
            <w:pPr>
              <w:spacing w:before="60" w:after="60"/>
            </w:pPr>
            <w:r>
              <w:rPr>
                <w:b/>
                <w:bCs/>
                <w:color w:val="D4AF37"/>
                <w:sz w:val="20"/>
                <w:szCs w:val="20"/>
              </w:rPr>
              <w:t>Responsibilities</w:t>
            </w:r>
          </w:p>
        </w:tc>
      </w:tr>
      <w:tr w:rsidR="00143F29" w14:paraId="07DE8AE5" w14:textId="77777777">
        <w:tblPrEx>
          <w:tblCellMar>
            <w:top w:w="0" w:type="dxa"/>
            <w:bottom w:w="0" w:type="dxa"/>
          </w:tblCellMar>
        </w:tblPrEx>
        <w:tc>
          <w:tcPr>
            <w:tcW w:w="3200" w:type="dxa"/>
            <w:shd w:val="clear" w:color="auto" w:fill="FFFFFF"/>
          </w:tcPr>
          <w:p w14:paraId="4B5AFC95" w14:textId="77777777" w:rsidR="00143F29" w:rsidRDefault="00000000">
            <w:pPr>
              <w:spacing w:before="60" w:after="60"/>
            </w:pPr>
            <w:r>
              <w:rPr>
                <w:color w:val="333333"/>
                <w:sz w:val="20"/>
                <w:szCs w:val="20"/>
              </w:rPr>
              <w:t>CFO</w:t>
            </w:r>
          </w:p>
        </w:tc>
        <w:tc>
          <w:tcPr>
            <w:tcW w:w="6160" w:type="dxa"/>
            <w:shd w:val="clear" w:color="auto" w:fill="FFFFFF"/>
          </w:tcPr>
          <w:p w14:paraId="7C98AAD4" w14:textId="77777777" w:rsidR="00143F29" w:rsidRDefault="00000000">
            <w:pPr>
              <w:spacing w:before="60" w:after="60"/>
            </w:pPr>
            <w:r>
              <w:rPr>
                <w:color w:val="333333"/>
                <w:sz w:val="20"/>
                <w:szCs w:val="20"/>
              </w:rPr>
              <w:t>Sponsors the conflict minerals compliance program. Reviews Form SD before filing. Approves the compliance budget.</w:t>
            </w:r>
          </w:p>
        </w:tc>
      </w:tr>
      <w:tr w:rsidR="00143F29" w14:paraId="0BECF9C8" w14:textId="77777777">
        <w:tblPrEx>
          <w:tblCellMar>
            <w:top w:w="0" w:type="dxa"/>
            <w:bottom w:w="0" w:type="dxa"/>
          </w:tblCellMar>
        </w:tblPrEx>
        <w:tc>
          <w:tcPr>
            <w:tcW w:w="3200" w:type="dxa"/>
            <w:shd w:val="clear" w:color="auto" w:fill="F5F5F5"/>
          </w:tcPr>
          <w:p w14:paraId="7F831AAD" w14:textId="77777777" w:rsidR="00143F29" w:rsidRDefault="00000000">
            <w:pPr>
              <w:spacing w:before="60" w:after="60"/>
            </w:pPr>
            <w:r>
              <w:rPr>
                <w:color w:val="333333"/>
                <w:sz w:val="20"/>
                <w:szCs w:val="20"/>
              </w:rPr>
              <w:t>Controller</w:t>
            </w:r>
          </w:p>
        </w:tc>
        <w:tc>
          <w:tcPr>
            <w:tcW w:w="6160" w:type="dxa"/>
            <w:shd w:val="clear" w:color="auto" w:fill="F5F5F5"/>
          </w:tcPr>
          <w:p w14:paraId="63A3547C" w14:textId="77777777" w:rsidR="00143F29" w:rsidRDefault="00000000">
            <w:pPr>
              <w:spacing w:before="60" w:after="60"/>
            </w:pPr>
            <w:r>
              <w:rPr>
                <w:color w:val="333333"/>
                <w:sz w:val="20"/>
                <w:szCs w:val="20"/>
              </w:rPr>
              <w:t>Owns the financial reporting aspects. Prepares Form SD. Records compliance costs. Evaluates disclosure requirements.</w:t>
            </w:r>
          </w:p>
        </w:tc>
      </w:tr>
      <w:tr w:rsidR="00143F29" w14:paraId="341524B0" w14:textId="77777777">
        <w:tblPrEx>
          <w:tblCellMar>
            <w:top w:w="0" w:type="dxa"/>
            <w:bottom w:w="0" w:type="dxa"/>
          </w:tblCellMar>
        </w:tblPrEx>
        <w:tc>
          <w:tcPr>
            <w:tcW w:w="3200" w:type="dxa"/>
            <w:shd w:val="clear" w:color="auto" w:fill="FFFFFF"/>
          </w:tcPr>
          <w:p w14:paraId="1D37343E" w14:textId="77777777" w:rsidR="00143F29" w:rsidRDefault="00000000">
            <w:pPr>
              <w:spacing w:before="60" w:after="60"/>
            </w:pPr>
            <w:r>
              <w:rPr>
                <w:color w:val="333333"/>
                <w:sz w:val="20"/>
                <w:szCs w:val="20"/>
              </w:rPr>
              <w:t>Conflict Minerals Program Manager</w:t>
            </w:r>
          </w:p>
        </w:tc>
        <w:tc>
          <w:tcPr>
            <w:tcW w:w="6160" w:type="dxa"/>
            <w:shd w:val="clear" w:color="auto" w:fill="FFFFFF"/>
          </w:tcPr>
          <w:p w14:paraId="69DBE60B" w14:textId="77777777" w:rsidR="00143F29" w:rsidRDefault="00000000">
            <w:pPr>
              <w:spacing w:before="60" w:after="60"/>
            </w:pPr>
            <w:r>
              <w:rPr>
                <w:color w:val="333333"/>
                <w:sz w:val="20"/>
                <w:szCs w:val="20"/>
              </w:rPr>
              <w:t>Manages the RCOI and due diligence process. Distributes and collects CMRTs. Analyzes supplier responses. Coordinates with the supply chain.</w:t>
            </w:r>
          </w:p>
        </w:tc>
      </w:tr>
      <w:tr w:rsidR="00143F29" w14:paraId="2AB33EA0" w14:textId="77777777">
        <w:tblPrEx>
          <w:tblCellMar>
            <w:top w:w="0" w:type="dxa"/>
            <w:bottom w:w="0" w:type="dxa"/>
          </w:tblCellMar>
        </w:tblPrEx>
        <w:tc>
          <w:tcPr>
            <w:tcW w:w="3200" w:type="dxa"/>
            <w:shd w:val="clear" w:color="auto" w:fill="F5F5F5"/>
          </w:tcPr>
          <w:p w14:paraId="2A2D54F9" w14:textId="77777777" w:rsidR="00143F29" w:rsidRDefault="00000000">
            <w:pPr>
              <w:spacing w:before="60" w:after="60"/>
            </w:pPr>
            <w:r>
              <w:rPr>
                <w:color w:val="333333"/>
                <w:sz w:val="20"/>
                <w:szCs w:val="20"/>
              </w:rPr>
              <w:t>Procurement / Supply Chain</w:t>
            </w:r>
          </w:p>
        </w:tc>
        <w:tc>
          <w:tcPr>
            <w:tcW w:w="6160" w:type="dxa"/>
            <w:shd w:val="clear" w:color="auto" w:fill="F5F5F5"/>
          </w:tcPr>
          <w:p w14:paraId="2821908D" w14:textId="77777777" w:rsidR="00143F29" w:rsidRDefault="00000000">
            <w:pPr>
              <w:spacing w:before="60" w:after="60"/>
            </w:pPr>
            <w:r>
              <w:rPr>
                <w:color w:val="333333"/>
                <w:sz w:val="20"/>
                <w:szCs w:val="20"/>
              </w:rPr>
              <w:t>Engages suppliers on conflict minerals requirements. Includes compliance terms in contracts. Manages non-responsive supplier escalation.</w:t>
            </w:r>
          </w:p>
        </w:tc>
      </w:tr>
      <w:tr w:rsidR="00143F29" w14:paraId="39063141" w14:textId="77777777">
        <w:tblPrEx>
          <w:tblCellMar>
            <w:top w:w="0" w:type="dxa"/>
            <w:bottom w:w="0" w:type="dxa"/>
          </w:tblCellMar>
        </w:tblPrEx>
        <w:tc>
          <w:tcPr>
            <w:tcW w:w="3200" w:type="dxa"/>
            <w:shd w:val="clear" w:color="auto" w:fill="FFFFFF"/>
          </w:tcPr>
          <w:p w14:paraId="39764BF4" w14:textId="77777777" w:rsidR="00143F29" w:rsidRDefault="00000000">
            <w:pPr>
              <w:spacing w:before="60" w:after="60"/>
            </w:pPr>
            <w:r>
              <w:rPr>
                <w:color w:val="333333"/>
                <w:sz w:val="20"/>
                <w:szCs w:val="20"/>
              </w:rPr>
              <w:t>Legal</w:t>
            </w:r>
          </w:p>
        </w:tc>
        <w:tc>
          <w:tcPr>
            <w:tcW w:w="6160" w:type="dxa"/>
            <w:shd w:val="clear" w:color="auto" w:fill="FFFFFF"/>
          </w:tcPr>
          <w:p w14:paraId="0A4CA297" w14:textId="77777777" w:rsidR="00143F29" w:rsidRDefault="00000000">
            <w:pPr>
              <w:spacing w:before="60" w:after="60"/>
            </w:pPr>
            <w:r>
              <w:rPr>
                <w:color w:val="333333"/>
                <w:sz w:val="20"/>
                <w:szCs w:val="20"/>
              </w:rPr>
              <w:t>Reviews Form SD for legal accuracy. Advises on regulatory requirements and safe harbor provisions. Manages IPSA engagement if required.</w:t>
            </w:r>
          </w:p>
        </w:tc>
      </w:tr>
      <w:tr w:rsidR="00143F29" w14:paraId="742DC32A" w14:textId="77777777">
        <w:tblPrEx>
          <w:tblCellMar>
            <w:top w:w="0" w:type="dxa"/>
            <w:bottom w:w="0" w:type="dxa"/>
          </w:tblCellMar>
        </w:tblPrEx>
        <w:tc>
          <w:tcPr>
            <w:tcW w:w="3200" w:type="dxa"/>
            <w:shd w:val="clear" w:color="auto" w:fill="F5F5F5"/>
          </w:tcPr>
          <w:p w14:paraId="3D9C5F82" w14:textId="77777777" w:rsidR="00143F29" w:rsidRDefault="00000000">
            <w:pPr>
              <w:spacing w:before="60" w:after="60"/>
            </w:pPr>
            <w:r>
              <w:rPr>
                <w:color w:val="333333"/>
                <w:sz w:val="20"/>
                <w:szCs w:val="20"/>
              </w:rPr>
              <w:t>Engineering / Product Management</w:t>
            </w:r>
          </w:p>
        </w:tc>
        <w:tc>
          <w:tcPr>
            <w:tcW w:w="6160" w:type="dxa"/>
            <w:shd w:val="clear" w:color="auto" w:fill="F5F5F5"/>
          </w:tcPr>
          <w:p w14:paraId="3308D059" w14:textId="77777777" w:rsidR="00143F29" w:rsidRDefault="00000000">
            <w:pPr>
              <w:spacing w:before="60" w:after="60"/>
            </w:pPr>
            <w:r>
              <w:rPr>
                <w:color w:val="333333"/>
                <w:sz w:val="20"/>
                <w:szCs w:val="20"/>
              </w:rPr>
              <w:t>Identifies which products contain 3TG minerals. Maintains the product-to-mineral mapping. Supports supplier identification.</w:t>
            </w:r>
          </w:p>
        </w:tc>
      </w:tr>
      <w:tr w:rsidR="00143F29" w14:paraId="516AA450" w14:textId="77777777">
        <w:tblPrEx>
          <w:tblCellMar>
            <w:top w:w="0" w:type="dxa"/>
            <w:bottom w:w="0" w:type="dxa"/>
          </w:tblCellMar>
        </w:tblPrEx>
        <w:tc>
          <w:tcPr>
            <w:tcW w:w="3200" w:type="dxa"/>
            <w:shd w:val="clear" w:color="auto" w:fill="FFFFFF"/>
          </w:tcPr>
          <w:p w14:paraId="1AA5247C" w14:textId="77777777" w:rsidR="00143F29" w:rsidRDefault="00000000">
            <w:pPr>
              <w:spacing w:before="60" w:after="60"/>
            </w:pPr>
            <w:r>
              <w:rPr>
                <w:color w:val="333333"/>
                <w:sz w:val="20"/>
                <w:szCs w:val="20"/>
              </w:rPr>
              <w:t>Sustainability / ESG</w:t>
            </w:r>
          </w:p>
        </w:tc>
        <w:tc>
          <w:tcPr>
            <w:tcW w:w="6160" w:type="dxa"/>
            <w:shd w:val="clear" w:color="auto" w:fill="FFFFFF"/>
          </w:tcPr>
          <w:p w14:paraId="4C757732" w14:textId="77777777" w:rsidR="00143F29" w:rsidRDefault="00000000">
            <w:pPr>
              <w:spacing w:before="60" w:after="60"/>
            </w:pPr>
            <w:r>
              <w:rPr>
                <w:color w:val="333333"/>
                <w:sz w:val="20"/>
                <w:szCs w:val="20"/>
              </w:rPr>
              <w:t>Integrates conflict minerals into the broader responsible sourcing and ESG program. Supports stakeholder communication.</w:t>
            </w:r>
          </w:p>
        </w:tc>
      </w:tr>
      <w:tr w:rsidR="00143F29" w14:paraId="5FCA4176" w14:textId="77777777">
        <w:tblPrEx>
          <w:tblCellMar>
            <w:top w:w="0" w:type="dxa"/>
            <w:bottom w:w="0" w:type="dxa"/>
          </w:tblCellMar>
        </w:tblPrEx>
        <w:tc>
          <w:tcPr>
            <w:tcW w:w="3200" w:type="dxa"/>
            <w:shd w:val="clear" w:color="auto" w:fill="F5F5F5"/>
          </w:tcPr>
          <w:p w14:paraId="032E612A" w14:textId="77777777" w:rsidR="00143F29" w:rsidRDefault="00000000">
            <w:pPr>
              <w:spacing w:before="60" w:after="60"/>
            </w:pPr>
            <w:r>
              <w:rPr>
                <w:color w:val="333333"/>
                <w:sz w:val="20"/>
                <w:szCs w:val="20"/>
              </w:rPr>
              <w:t>External Auditor / IPSA Provider</w:t>
            </w:r>
          </w:p>
        </w:tc>
        <w:tc>
          <w:tcPr>
            <w:tcW w:w="6160" w:type="dxa"/>
            <w:shd w:val="clear" w:color="auto" w:fill="F5F5F5"/>
          </w:tcPr>
          <w:p w14:paraId="25524267" w14:textId="77777777" w:rsidR="00143F29" w:rsidRDefault="00000000">
            <w:pPr>
              <w:spacing w:before="60" w:after="60"/>
            </w:pPr>
            <w:r>
              <w:rPr>
                <w:color w:val="333333"/>
                <w:sz w:val="20"/>
                <w:szCs w:val="20"/>
              </w:rPr>
              <w:t>Conducts the independent audit of the CMR if required. Reviews RCOI methodology and due diligence.</w:t>
            </w:r>
          </w:p>
        </w:tc>
      </w:tr>
    </w:tbl>
    <w:p w14:paraId="6D3E26C1" w14:textId="77777777" w:rsidR="00143F29" w:rsidRDefault="00000000">
      <w:r>
        <w:br w:type="page"/>
      </w:r>
    </w:p>
    <w:p w14:paraId="0461A09F" w14:textId="77777777" w:rsidR="00143F29" w:rsidRDefault="00000000">
      <w:pPr>
        <w:pStyle w:val="Heading1"/>
        <w:pBdr>
          <w:bottom w:val="single" w:sz="4" w:space="0" w:color="D4AF37"/>
        </w:pBdr>
        <w:spacing w:before="400" w:after="200"/>
      </w:pPr>
      <w:bookmarkStart w:id="11" w:name="_Toc235439974"/>
      <w:r>
        <w:lastRenderedPageBreak/>
        <w:t>5. Detailed Procedures</w:t>
      </w:r>
      <w:bookmarkEnd w:id="11"/>
    </w:p>
    <w:p w14:paraId="305B9375" w14:textId="77777777" w:rsidR="00143F29" w:rsidRDefault="00000000">
      <w:pPr>
        <w:pStyle w:val="Heading2"/>
        <w:spacing w:before="300" w:after="150"/>
      </w:pPr>
      <w:bookmarkStart w:id="12" w:name="_Toc235439975"/>
      <w:r>
        <w:t>5.1 Annual Compliance Cycle</w:t>
      </w:r>
      <w:bookmarkEnd w:id="12"/>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2F337243" w14:textId="77777777">
        <w:tblPrEx>
          <w:tblCellMar>
            <w:top w:w="0" w:type="dxa"/>
            <w:bottom w:w="0" w:type="dxa"/>
          </w:tblCellMar>
        </w:tblPrEx>
        <w:tc>
          <w:tcPr>
            <w:tcW w:w="3200" w:type="dxa"/>
            <w:shd w:val="clear" w:color="auto" w:fill="0C0C0C"/>
          </w:tcPr>
          <w:p w14:paraId="4434C2F9" w14:textId="77777777" w:rsidR="00143F29" w:rsidRDefault="00000000">
            <w:pPr>
              <w:spacing w:before="60" w:after="60"/>
            </w:pPr>
            <w:r>
              <w:rPr>
                <w:b/>
                <w:bCs/>
                <w:color w:val="D4AF37"/>
                <w:sz w:val="20"/>
                <w:szCs w:val="20"/>
              </w:rPr>
              <w:t>Month</w:t>
            </w:r>
          </w:p>
        </w:tc>
        <w:tc>
          <w:tcPr>
            <w:tcW w:w="6160" w:type="dxa"/>
            <w:shd w:val="clear" w:color="auto" w:fill="0C0C0C"/>
          </w:tcPr>
          <w:p w14:paraId="3728B1A2" w14:textId="77777777" w:rsidR="00143F29" w:rsidRDefault="00000000">
            <w:pPr>
              <w:spacing w:before="60" w:after="60"/>
            </w:pPr>
            <w:r>
              <w:rPr>
                <w:b/>
                <w:bCs/>
                <w:color w:val="D4AF37"/>
                <w:sz w:val="20"/>
                <w:szCs w:val="20"/>
              </w:rPr>
              <w:t>Activity</w:t>
            </w:r>
          </w:p>
        </w:tc>
      </w:tr>
      <w:tr w:rsidR="00143F29" w14:paraId="6DF2C46C" w14:textId="77777777">
        <w:tblPrEx>
          <w:tblCellMar>
            <w:top w:w="0" w:type="dxa"/>
            <w:bottom w:w="0" w:type="dxa"/>
          </w:tblCellMar>
        </w:tblPrEx>
        <w:tc>
          <w:tcPr>
            <w:tcW w:w="3200" w:type="dxa"/>
            <w:shd w:val="clear" w:color="auto" w:fill="FFFFFF"/>
          </w:tcPr>
          <w:p w14:paraId="63B34915" w14:textId="77777777" w:rsidR="00143F29" w:rsidRDefault="00000000">
            <w:pPr>
              <w:spacing w:before="60" w:after="60"/>
            </w:pPr>
            <w:r>
              <w:rPr>
                <w:color w:val="333333"/>
                <w:sz w:val="20"/>
                <w:szCs w:val="20"/>
              </w:rPr>
              <w:t>January</w:t>
            </w:r>
          </w:p>
        </w:tc>
        <w:tc>
          <w:tcPr>
            <w:tcW w:w="6160" w:type="dxa"/>
            <w:shd w:val="clear" w:color="auto" w:fill="FFFFFF"/>
          </w:tcPr>
          <w:p w14:paraId="7007952D" w14:textId="77777777" w:rsidR="00143F29" w:rsidRDefault="00000000">
            <w:pPr>
              <w:spacing w:before="60" w:after="60"/>
            </w:pPr>
            <w:r>
              <w:rPr>
                <w:color w:val="333333"/>
                <w:sz w:val="20"/>
                <w:szCs w:val="20"/>
              </w:rPr>
              <w:t>Distribute CMRTs to all in-scope suppliers</w:t>
            </w:r>
          </w:p>
        </w:tc>
      </w:tr>
      <w:tr w:rsidR="00143F29" w14:paraId="5C28A1B6" w14:textId="77777777">
        <w:tblPrEx>
          <w:tblCellMar>
            <w:top w:w="0" w:type="dxa"/>
            <w:bottom w:w="0" w:type="dxa"/>
          </w:tblCellMar>
        </w:tblPrEx>
        <w:tc>
          <w:tcPr>
            <w:tcW w:w="3200" w:type="dxa"/>
            <w:shd w:val="clear" w:color="auto" w:fill="F5F5F5"/>
          </w:tcPr>
          <w:p w14:paraId="156664CA" w14:textId="77777777" w:rsidR="00143F29" w:rsidRDefault="00000000">
            <w:pPr>
              <w:spacing w:before="60" w:after="60"/>
            </w:pPr>
            <w:r>
              <w:rPr>
                <w:color w:val="333333"/>
                <w:sz w:val="20"/>
                <w:szCs w:val="20"/>
              </w:rPr>
              <w:t>February-March</w:t>
            </w:r>
          </w:p>
        </w:tc>
        <w:tc>
          <w:tcPr>
            <w:tcW w:w="6160" w:type="dxa"/>
            <w:shd w:val="clear" w:color="auto" w:fill="F5F5F5"/>
          </w:tcPr>
          <w:p w14:paraId="14354F1C" w14:textId="77777777" w:rsidR="00143F29" w:rsidRDefault="00000000">
            <w:pPr>
              <w:spacing w:before="60" w:after="60"/>
            </w:pPr>
            <w:r>
              <w:rPr>
                <w:color w:val="333333"/>
                <w:sz w:val="20"/>
                <w:szCs w:val="20"/>
              </w:rPr>
              <w:t>Collect and review supplier CMRT responses; follow up on non-responders</w:t>
            </w:r>
          </w:p>
        </w:tc>
      </w:tr>
      <w:tr w:rsidR="00143F29" w14:paraId="021DCF62" w14:textId="77777777">
        <w:tblPrEx>
          <w:tblCellMar>
            <w:top w:w="0" w:type="dxa"/>
            <w:bottom w:w="0" w:type="dxa"/>
          </w:tblCellMar>
        </w:tblPrEx>
        <w:tc>
          <w:tcPr>
            <w:tcW w:w="3200" w:type="dxa"/>
            <w:shd w:val="clear" w:color="auto" w:fill="FFFFFF"/>
          </w:tcPr>
          <w:p w14:paraId="1DD0BA55" w14:textId="77777777" w:rsidR="00143F29" w:rsidRDefault="00000000">
            <w:pPr>
              <w:spacing w:before="60" w:after="60"/>
            </w:pPr>
            <w:r>
              <w:rPr>
                <w:color w:val="333333"/>
                <w:sz w:val="20"/>
                <w:szCs w:val="20"/>
              </w:rPr>
              <w:t>March-April</w:t>
            </w:r>
          </w:p>
        </w:tc>
        <w:tc>
          <w:tcPr>
            <w:tcW w:w="6160" w:type="dxa"/>
            <w:shd w:val="clear" w:color="auto" w:fill="FFFFFF"/>
          </w:tcPr>
          <w:p w14:paraId="6B8901FA" w14:textId="77777777" w:rsidR="00143F29" w:rsidRDefault="00000000">
            <w:pPr>
              <w:spacing w:before="60" w:after="60"/>
            </w:pPr>
            <w:r>
              <w:rPr>
                <w:color w:val="333333"/>
                <w:sz w:val="20"/>
                <w:szCs w:val="20"/>
              </w:rPr>
              <w:t>Analyze CMRT data: identify smelters/refiners; compare to RMI conformant list; assess DRC conflict status</w:t>
            </w:r>
          </w:p>
        </w:tc>
      </w:tr>
      <w:tr w:rsidR="00143F29" w14:paraId="5924240A" w14:textId="77777777">
        <w:tblPrEx>
          <w:tblCellMar>
            <w:top w:w="0" w:type="dxa"/>
            <w:bottom w:w="0" w:type="dxa"/>
          </w:tblCellMar>
        </w:tblPrEx>
        <w:tc>
          <w:tcPr>
            <w:tcW w:w="3200" w:type="dxa"/>
            <w:shd w:val="clear" w:color="auto" w:fill="F5F5F5"/>
          </w:tcPr>
          <w:p w14:paraId="4CA983F2" w14:textId="77777777" w:rsidR="00143F29" w:rsidRDefault="00000000">
            <w:pPr>
              <w:spacing w:before="60" w:after="60"/>
            </w:pPr>
            <w:r>
              <w:rPr>
                <w:color w:val="333333"/>
                <w:sz w:val="20"/>
                <w:szCs w:val="20"/>
              </w:rPr>
              <w:t>April</w:t>
            </w:r>
          </w:p>
        </w:tc>
        <w:tc>
          <w:tcPr>
            <w:tcW w:w="6160" w:type="dxa"/>
            <w:shd w:val="clear" w:color="auto" w:fill="F5F5F5"/>
          </w:tcPr>
          <w:p w14:paraId="1E37AE3D" w14:textId="77777777" w:rsidR="00143F29" w:rsidRDefault="00000000">
            <w:pPr>
              <w:spacing w:before="60" w:after="60"/>
            </w:pPr>
            <w:r>
              <w:rPr>
                <w:color w:val="333333"/>
                <w:sz w:val="20"/>
                <w:szCs w:val="20"/>
              </w:rPr>
              <w:t>Prepare the RCOI analysis and determine whether a CMR is required</w:t>
            </w:r>
          </w:p>
        </w:tc>
      </w:tr>
      <w:tr w:rsidR="00143F29" w14:paraId="7A038468" w14:textId="77777777">
        <w:tblPrEx>
          <w:tblCellMar>
            <w:top w:w="0" w:type="dxa"/>
            <w:bottom w:w="0" w:type="dxa"/>
          </w:tblCellMar>
        </w:tblPrEx>
        <w:tc>
          <w:tcPr>
            <w:tcW w:w="3200" w:type="dxa"/>
            <w:shd w:val="clear" w:color="auto" w:fill="FFFFFF"/>
          </w:tcPr>
          <w:p w14:paraId="5A877138" w14:textId="77777777" w:rsidR="00143F29" w:rsidRDefault="00000000">
            <w:pPr>
              <w:spacing w:before="60" w:after="60"/>
            </w:pPr>
            <w:r>
              <w:rPr>
                <w:color w:val="333333"/>
                <w:sz w:val="20"/>
                <w:szCs w:val="20"/>
              </w:rPr>
              <w:t>April-May</w:t>
            </w:r>
          </w:p>
        </w:tc>
        <w:tc>
          <w:tcPr>
            <w:tcW w:w="6160" w:type="dxa"/>
            <w:shd w:val="clear" w:color="auto" w:fill="FFFFFF"/>
          </w:tcPr>
          <w:p w14:paraId="190F462A" w14:textId="77777777" w:rsidR="00143F29" w:rsidRDefault="00000000">
            <w:pPr>
              <w:spacing w:before="60" w:after="60"/>
            </w:pPr>
            <w:r>
              <w:rPr>
                <w:color w:val="333333"/>
                <w:sz w:val="20"/>
                <w:szCs w:val="20"/>
              </w:rPr>
              <w:t>Draft Form SD (and CMR if required); obtain IPSA if required</w:t>
            </w:r>
          </w:p>
        </w:tc>
      </w:tr>
      <w:tr w:rsidR="00143F29" w14:paraId="665DFB29" w14:textId="77777777">
        <w:tblPrEx>
          <w:tblCellMar>
            <w:top w:w="0" w:type="dxa"/>
            <w:bottom w:w="0" w:type="dxa"/>
          </w:tblCellMar>
        </w:tblPrEx>
        <w:tc>
          <w:tcPr>
            <w:tcW w:w="3200" w:type="dxa"/>
            <w:shd w:val="clear" w:color="auto" w:fill="F5F5F5"/>
          </w:tcPr>
          <w:p w14:paraId="73FB9119" w14:textId="77777777" w:rsidR="00143F29" w:rsidRDefault="00000000">
            <w:pPr>
              <w:spacing w:before="60" w:after="60"/>
            </w:pPr>
            <w:r>
              <w:rPr>
                <w:color w:val="333333"/>
                <w:sz w:val="20"/>
                <w:szCs w:val="20"/>
              </w:rPr>
              <w:t>May</w:t>
            </w:r>
          </w:p>
        </w:tc>
        <w:tc>
          <w:tcPr>
            <w:tcW w:w="6160" w:type="dxa"/>
            <w:shd w:val="clear" w:color="auto" w:fill="F5F5F5"/>
          </w:tcPr>
          <w:p w14:paraId="14FA6E16" w14:textId="77777777" w:rsidR="00143F29" w:rsidRDefault="00000000">
            <w:pPr>
              <w:spacing w:before="60" w:after="60"/>
            </w:pPr>
            <w:r>
              <w:rPr>
                <w:color w:val="333333"/>
                <w:sz w:val="20"/>
                <w:szCs w:val="20"/>
              </w:rPr>
              <w:t>Legal and CFO review; Board/Audit Committee notification</w:t>
            </w:r>
          </w:p>
        </w:tc>
      </w:tr>
      <w:tr w:rsidR="00143F29" w14:paraId="2A58965B" w14:textId="77777777">
        <w:tblPrEx>
          <w:tblCellMar>
            <w:top w:w="0" w:type="dxa"/>
            <w:bottom w:w="0" w:type="dxa"/>
          </w:tblCellMar>
        </w:tblPrEx>
        <w:tc>
          <w:tcPr>
            <w:tcW w:w="3200" w:type="dxa"/>
            <w:shd w:val="clear" w:color="auto" w:fill="FFFFFF"/>
          </w:tcPr>
          <w:p w14:paraId="3E794470" w14:textId="77777777" w:rsidR="00143F29" w:rsidRDefault="00000000">
            <w:pPr>
              <w:spacing w:before="60" w:after="60"/>
            </w:pPr>
            <w:r>
              <w:rPr>
                <w:color w:val="333333"/>
                <w:sz w:val="20"/>
                <w:szCs w:val="20"/>
              </w:rPr>
              <w:t>May 31</w:t>
            </w:r>
          </w:p>
        </w:tc>
        <w:tc>
          <w:tcPr>
            <w:tcW w:w="6160" w:type="dxa"/>
            <w:shd w:val="clear" w:color="auto" w:fill="FFFFFF"/>
          </w:tcPr>
          <w:p w14:paraId="4D434FC8" w14:textId="77777777" w:rsidR="00143F29" w:rsidRDefault="00000000">
            <w:pPr>
              <w:spacing w:before="60" w:after="60"/>
            </w:pPr>
            <w:r>
              <w:rPr>
                <w:color w:val="333333"/>
                <w:sz w:val="20"/>
                <w:szCs w:val="20"/>
              </w:rPr>
              <w:t>File Form SD on EDGAR</w:t>
            </w:r>
          </w:p>
        </w:tc>
      </w:tr>
      <w:tr w:rsidR="00143F29" w14:paraId="33F28CB4" w14:textId="77777777">
        <w:tblPrEx>
          <w:tblCellMar>
            <w:top w:w="0" w:type="dxa"/>
            <w:bottom w:w="0" w:type="dxa"/>
          </w:tblCellMar>
        </w:tblPrEx>
        <w:tc>
          <w:tcPr>
            <w:tcW w:w="3200" w:type="dxa"/>
            <w:shd w:val="clear" w:color="auto" w:fill="F5F5F5"/>
          </w:tcPr>
          <w:p w14:paraId="238CEDB6" w14:textId="77777777" w:rsidR="00143F29" w:rsidRDefault="00000000">
            <w:pPr>
              <w:spacing w:before="60" w:after="60"/>
            </w:pPr>
            <w:r>
              <w:rPr>
                <w:color w:val="333333"/>
                <w:sz w:val="20"/>
                <w:szCs w:val="20"/>
              </w:rPr>
              <w:t>June-December</w:t>
            </w:r>
          </w:p>
        </w:tc>
        <w:tc>
          <w:tcPr>
            <w:tcW w:w="6160" w:type="dxa"/>
            <w:shd w:val="clear" w:color="auto" w:fill="F5F5F5"/>
          </w:tcPr>
          <w:p w14:paraId="708831FC" w14:textId="77777777" w:rsidR="00143F29" w:rsidRDefault="00000000">
            <w:pPr>
              <w:spacing w:before="60" w:after="60"/>
            </w:pPr>
            <w:r>
              <w:rPr>
                <w:color w:val="333333"/>
                <w:sz w:val="20"/>
                <w:szCs w:val="20"/>
              </w:rPr>
              <w:t>Engage non-conformant smelters; improve supplier response rates; update product mapping</w:t>
            </w:r>
          </w:p>
        </w:tc>
      </w:tr>
    </w:tbl>
    <w:p w14:paraId="7B0CAE7A" w14:textId="77777777" w:rsidR="00143F29" w:rsidRDefault="00000000">
      <w:pPr>
        <w:pStyle w:val="Heading2"/>
        <w:spacing w:before="300" w:after="150"/>
      </w:pPr>
      <w:bookmarkStart w:id="13" w:name="_Toc235439976"/>
      <w:r>
        <w:t>5.2 Supplier CMRT Collection</w:t>
      </w:r>
      <w:bookmarkEnd w:id="13"/>
    </w:p>
    <w:p w14:paraId="308E7D66" w14:textId="77777777" w:rsidR="00143F29" w:rsidRDefault="00000000">
      <w:pPr>
        <w:spacing w:after="80"/>
        <w:ind w:left="720"/>
      </w:pPr>
      <w:r>
        <w:rPr>
          <w:b/>
          <w:bCs/>
          <w:color w:val="D4AF37"/>
        </w:rPr>
        <w:t xml:space="preserve">1.  </w:t>
      </w:r>
      <w:r>
        <w:rPr>
          <w:color w:val="333333"/>
        </w:rPr>
        <w:t>Product Management identifies all products containing 3TG minerals and the associated suppliers</w:t>
      </w:r>
    </w:p>
    <w:p w14:paraId="656D8E4A" w14:textId="77777777" w:rsidR="00143F29" w:rsidRDefault="00000000">
      <w:pPr>
        <w:spacing w:after="80"/>
        <w:ind w:left="720"/>
      </w:pPr>
      <w:r>
        <w:rPr>
          <w:b/>
          <w:bCs/>
          <w:color w:val="D4AF37"/>
        </w:rPr>
        <w:t xml:space="preserve">2.  </w:t>
      </w:r>
      <w:r>
        <w:rPr>
          <w:color w:val="333333"/>
        </w:rPr>
        <w:t>Program Manager distributes the current version of the CMRT to all in-scope suppliers</w:t>
      </w:r>
    </w:p>
    <w:p w14:paraId="36F89DBA" w14:textId="77777777" w:rsidR="00143F29" w:rsidRDefault="00000000">
      <w:pPr>
        <w:spacing w:after="80"/>
        <w:ind w:left="720"/>
      </w:pPr>
      <w:r>
        <w:rPr>
          <w:b/>
          <w:bCs/>
          <w:color w:val="D4AF37"/>
        </w:rPr>
        <w:t xml:space="preserve">3.  </w:t>
      </w:r>
      <w:r>
        <w:rPr>
          <w:color w:val="333333"/>
        </w:rPr>
        <w:t>Suppliers complete the CMRT identifying: the 3TG minerals in their products, the smelters/refiners in their supply chain, and whether they have conducted their own due diligence</w:t>
      </w:r>
    </w:p>
    <w:p w14:paraId="7AC7B12C" w14:textId="77777777" w:rsidR="00143F29" w:rsidRDefault="00000000">
      <w:pPr>
        <w:spacing w:after="80"/>
        <w:ind w:left="720"/>
      </w:pPr>
      <w:r>
        <w:rPr>
          <w:b/>
          <w:bCs/>
          <w:color w:val="D4AF37"/>
        </w:rPr>
        <w:t xml:space="preserve">4.  </w:t>
      </w:r>
      <w:r>
        <w:rPr>
          <w:color w:val="333333"/>
        </w:rPr>
        <w:t>Program Manager tracks response rates and follows up with non-responding suppliers at [2]-week intervals</w:t>
      </w:r>
    </w:p>
    <w:p w14:paraId="59E4E58F" w14:textId="77777777" w:rsidR="00143F29" w:rsidRDefault="00000000">
      <w:pPr>
        <w:spacing w:after="80"/>
        <w:ind w:left="720"/>
      </w:pPr>
      <w:r>
        <w:rPr>
          <w:b/>
          <w:bCs/>
          <w:color w:val="D4AF37"/>
        </w:rPr>
        <w:t xml:space="preserve">5.  </w:t>
      </w:r>
      <w:r>
        <w:rPr>
          <w:color w:val="333333"/>
        </w:rPr>
        <w:t>Received CMRTs are reviewed for completeness and internal consistency</w:t>
      </w:r>
    </w:p>
    <w:p w14:paraId="3D479377" w14:textId="77777777" w:rsidR="00143F29" w:rsidRDefault="00000000">
      <w:pPr>
        <w:spacing w:after="80"/>
        <w:ind w:left="720"/>
      </w:pPr>
      <w:r>
        <w:rPr>
          <w:b/>
          <w:bCs/>
          <w:color w:val="D4AF37"/>
        </w:rPr>
        <w:t xml:space="preserve">6.  </w:t>
      </w:r>
      <w:r>
        <w:rPr>
          <w:color w:val="333333"/>
        </w:rPr>
        <w:t>Smelter/refiner names are cross-referenced against the RMI conformant smelter list</w:t>
      </w:r>
    </w:p>
    <w:p w14:paraId="7DF10103" w14:textId="77777777" w:rsidR="00143F29" w:rsidRDefault="00000000">
      <w:pPr>
        <w:pStyle w:val="Heading2"/>
        <w:spacing w:before="300" w:after="150"/>
      </w:pPr>
      <w:bookmarkStart w:id="14" w:name="_Toc235439977"/>
      <w:r>
        <w:t>5.3 RCOI Analysis</w:t>
      </w:r>
      <w:bookmarkEnd w:id="14"/>
    </w:p>
    <w:p w14:paraId="21C0C68E" w14:textId="77777777" w:rsidR="00143F29" w:rsidRDefault="00000000">
      <w:pPr>
        <w:spacing w:after="150"/>
        <w:jc w:val="both"/>
      </w:pPr>
      <w:r>
        <w:rPr>
          <w:color w:val="333333"/>
        </w:rPr>
        <w:t>Based on the CMRT data, the Program Manager determines for each product whether 3TG minerals: are from recycled or scrap sources (no further action required), are from smelters/refiners validated as conflict-free by RMI (may be determined DRC conflict-free), are from smelters/refiners NOT on the RMI conformant list (requires further due diligence), or have undetermined origin (supplier did not respond or provided insufficient information). Products with undetermined origin are disclosed in the Form SD.</w:t>
      </w:r>
    </w:p>
    <w:p w14:paraId="7B8DEFCD" w14:textId="77777777" w:rsidR="00143F29" w:rsidRDefault="00000000">
      <w:pPr>
        <w:pStyle w:val="Heading2"/>
        <w:spacing w:before="300" w:after="150"/>
      </w:pPr>
      <w:bookmarkStart w:id="15" w:name="_Toc235439978"/>
      <w:r>
        <w:t>5.4 Form SD Preparation</w:t>
      </w:r>
      <w:bookmarkEnd w:id="15"/>
    </w:p>
    <w:p w14:paraId="0F3590D9" w14:textId="77777777" w:rsidR="00143F29" w:rsidRDefault="00000000">
      <w:pPr>
        <w:spacing w:after="150"/>
        <w:jc w:val="both"/>
      </w:pPr>
      <w:r>
        <w:rPr>
          <w:color w:val="333333"/>
        </w:rPr>
        <w:t xml:space="preserve">The Controller shall prepare Form SD including: a description of the RCOI conducted, whether the RCOI determined that 3TG minerals may have originated in covered countries, the Conflict Minerals Report (if required) describing due diligence performed per the OECD framework, the products manufactured or </w:t>
      </w:r>
      <w:r>
        <w:rPr>
          <w:color w:val="333333"/>
        </w:rPr>
        <w:lastRenderedPageBreak/>
        <w:t>contracted to be manufactured that are not DRC conflict-free, and the steps taken or to be taken to mitigate the risk. Form SD shall be reviewed by Legal and approved by the CFO before filing.</w:t>
      </w:r>
    </w:p>
    <w:p w14:paraId="15029499" w14:textId="77777777" w:rsidR="00143F29" w:rsidRDefault="00000000">
      <w:pPr>
        <w:pStyle w:val="Heading2"/>
        <w:spacing w:before="300" w:after="150"/>
      </w:pPr>
      <w:bookmarkStart w:id="16" w:name="_Toc235439979"/>
      <w:r>
        <w:t>5.5 Continuous Improvement</w:t>
      </w:r>
      <w:bookmarkEnd w:id="16"/>
    </w:p>
    <w:p w14:paraId="1F0B7B2A" w14:textId="77777777" w:rsidR="00143F29" w:rsidRDefault="00000000">
      <w:pPr>
        <w:spacing w:after="150"/>
        <w:jc w:val="both"/>
      </w:pPr>
      <w:r>
        <w:rPr>
          <w:color w:val="333333"/>
        </w:rPr>
        <w:t>The conflict minerals program shall continuously improve through: increasing supplier CMRT response rates year over year, encouraging suppliers to source from RMI-conformant smelters, engaging industry initiatives (RMI membership, smelter outreach programs), and supporting smelter/refiner audits in covered countries to expand the conformant smelter list.</w:t>
      </w:r>
    </w:p>
    <w:p w14:paraId="1680BBF9" w14:textId="77777777" w:rsidR="00143F29" w:rsidRDefault="00000000">
      <w:r>
        <w:br w:type="page"/>
      </w:r>
    </w:p>
    <w:p w14:paraId="63B7FE65" w14:textId="77777777" w:rsidR="00143F29" w:rsidRDefault="00000000">
      <w:pPr>
        <w:pStyle w:val="Heading1"/>
        <w:pBdr>
          <w:bottom w:val="single" w:sz="4" w:space="0" w:color="D4AF37"/>
        </w:pBdr>
        <w:spacing w:before="400" w:after="200"/>
      </w:pPr>
      <w:bookmarkStart w:id="17" w:name="_Toc235439980"/>
      <w:r>
        <w:lastRenderedPageBreak/>
        <w:t>6. Approval Authorities &amp; Thresholds</w:t>
      </w:r>
      <w:bookmarkEnd w:id="1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143F29" w14:paraId="3FC08447" w14:textId="77777777">
        <w:tblPrEx>
          <w:tblCellMar>
            <w:top w:w="0" w:type="dxa"/>
            <w:bottom w:w="0" w:type="dxa"/>
          </w:tblCellMar>
        </w:tblPrEx>
        <w:tc>
          <w:tcPr>
            <w:tcW w:w="2400" w:type="dxa"/>
            <w:shd w:val="clear" w:color="auto" w:fill="0C0C0C"/>
          </w:tcPr>
          <w:p w14:paraId="24A758B6" w14:textId="77777777" w:rsidR="00143F29" w:rsidRDefault="00000000">
            <w:pPr>
              <w:spacing w:before="60" w:after="60"/>
            </w:pPr>
            <w:r>
              <w:rPr>
                <w:b/>
                <w:bCs/>
                <w:color w:val="D4AF37"/>
                <w:sz w:val="20"/>
                <w:szCs w:val="20"/>
              </w:rPr>
              <w:t>Conflict Minerals Decision</w:t>
            </w:r>
          </w:p>
        </w:tc>
        <w:tc>
          <w:tcPr>
            <w:tcW w:w="2400" w:type="dxa"/>
            <w:shd w:val="clear" w:color="auto" w:fill="0C0C0C"/>
          </w:tcPr>
          <w:p w14:paraId="430306CC" w14:textId="77777777" w:rsidR="00143F29" w:rsidRDefault="00000000">
            <w:pPr>
              <w:spacing w:before="60" w:after="60"/>
            </w:pPr>
            <w:r>
              <w:rPr>
                <w:b/>
                <w:bCs/>
                <w:color w:val="D4AF37"/>
                <w:sz w:val="20"/>
                <w:szCs w:val="20"/>
              </w:rPr>
              <w:t>Threshold</w:t>
            </w:r>
          </w:p>
        </w:tc>
        <w:tc>
          <w:tcPr>
            <w:tcW w:w="4560" w:type="dxa"/>
            <w:shd w:val="clear" w:color="auto" w:fill="0C0C0C"/>
          </w:tcPr>
          <w:p w14:paraId="6628A14A" w14:textId="77777777" w:rsidR="00143F29" w:rsidRDefault="00000000">
            <w:pPr>
              <w:spacing w:before="60" w:after="60"/>
            </w:pPr>
            <w:r>
              <w:rPr>
                <w:b/>
                <w:bCs/>
                <w:color w:val="D4AF37"/>
                <w:sz w:val="20"/>
                <w:szCs w:val="20"/>
              </w:rPr>
              <w:t>Approver</w:t>
            </w:r>
          </w:p>
        </w:tc>
      </w:tr>
      <w:tr w:rsidR="00143F29" w14:paraId="4F508BCD" w14:textId="77777777">
        <w:tblPrEx>
          <w:tblCellMar>
            <w:top w:w="0" w:type="dxa"/>
            <w:bottom w:w="0" w:type="dxa"/>
          </w:tblCellMar>
        </w:tblPrEx>
        <w:tc>
          <w:tcPr>
            <w:tcW w:w="2400" w:type="dxa"/>
            <w:shd w:val="clear" w:color="auto" w:fill="FFFFFF"/>
          </w:tcPr>
          <w:p w14:paraId="579F5CF3" w14:textId="77777777" w:rsidR="00143F29" w:rsidRDefault="00000000">
            <w:pPr>
              <w:spacing w:before="60" w:after="60"/>
            </w:pPr>
            <w:r>
              <w:rPr>
                <w:color w:val="333333"/>
                <w:sz w:val="20"/>
                <w:szCs w:val="20"/>
              </w:rPr>
              <w:t>Applicability assessment</w:t>
            </w:r>
          </w:p>
        </w:tc>
        <w:tc>
          <w:tcPr>
            <w:tcW w:w="2400" w:type="dxa"/>
            <w:shd w:val="clear" w:color="auto" w:fill="FFFFFF"/>
          </w:tcPr>
          <w:p w14:paraId="17BDC938" w14:textId="77777777" w:rsidR="00143F29" w:rsidRDefault="00000000">
            <w:pPr>
              <w:spacing w:before="60" w:after="60"/>
            </w:pPr>
            <w:r>
              <w:rPr>
                <w:color w:val="333333"/>
                <w:sz w:val="20"/>
                <w:szCs w:val="20"/>
              </w:rPr>
              <w:t>Annual</w:t>
            </w:r>
          </w:p>
        </w:tc>
        <w:tc>
          <w:tcPr>
            <w:tcW w:w="4560" w:type="dxa"/>
            <w:shd w:val="clear" w:color="auto" w:fill="FFFFFF"/>
          </w:tcPr>
          <w:p w14:paraId="66DD353E" w14:textId="77777777" w:rsidR="00143F29" w:rsidRDefault="00000000">
            <w:pPr>
              <w:spacing w:before="60" w:after="60"/>
            </w:pPr>
            <w:r>
              <w:rPr>
                <w:color w:val="333333"/>
                <w:sz w:val="20"/>
                <w:szCs w:val="20"/>
              </w:rPr>
              <w:t>Controller</w:t>
            </w:r>
          </w:p>
        </w:tc>
      </w:tr>
      <w:tr w:rsidR="00143F29" w14:paraId="142F0EEC" w14:textId="77777777">
        <w:tblPrEx>
          <w:tblCellMar>
            <w:top w:w="0" w:type="dxa"/>
            <w:bottom w:w="0" w:type="dxa"/>
          </w:tblCellMar>
        </w:tblPrEx>
        <w:tc>
          <w:tcPr>
            <w:tcW w:w="2400" w:type="dxa"/>
            <w:shd w:val="clear" w:color="auto" w:fill="F5F5F5"/>
          </w:tcPr>
          <w:p w14:paraId="6010101C" w14:textId="77777777" w:rsidR="00143F29" w:rsidRDefault="00000000">
            <w:pPr>
              <w:spacing w:before="60" w:after="60"/>
            </w:pPr>
            <w:r>
              <w:rPr>
                <w:color w:val="333333"/>
                <w:sz w:val="20"/>
                <w:szCs w:val="20"/>
              </w:rPr>
              <w:t>RCOI methodology</w:t>
            </w:r>
          </w:p>
        </w:tc>
        <w:tc>
          <w:tcPr>
            <w:tcW w:w="2400" w:type="dxa"/>
            <w:shd w:val="clear" w:color="auto" w:fill="F5F5F5"/>
          </w:tcPr>
          <w:p w14:paraId="6346FDCD" w14:textId="77777777" w:rsidR="00143F29" w:rsidRDefault="00000000">
            <w:pPr>
              <w:spacing w:before="60" w:after="60"/>
            </w:pPr>
            <w:r>
              <w:rPr>
                <w:color w:val="333333"/>
                <w:sz w:val="20"/>
                <w:szCs w:val="20"/>
              </w:rPr>
              <w:t>Annual</w:t>
            </w:r>
          </w:p>
        </w:tc>
        <w:tc>
          <w:tcPr>
            <w:tcW w:w="4560" w:type="dxa"/>
            <w:shd w:val="clear" w:color="auto" w:fill="F5F5F5"/>
          </w:tcPr>
          <w:p w14:paraId="35839670" w14:textId="77777777" w:rsidR="00143F29" w:rsidRDefault="00000000">
            <w:pPr>
              <w:spacing w:before="60" w:after="60"/>
            </w:pPr>
            <w:r>
              <w:rPr>
                <w:color w:val="333333"/>
                <w:sz w:val="20"/>
                <w:szCs w:val="20"/>
              </w:rPr>
              <w:t>Program Manager + Controller</w:t>
            </w:r>
          </w:p>
        </w:tc>
      </w:tr>
      <w:tr w:rsidR="00143F29" w14:paraId="77A439F0" w14:textId="77777777">
        <w:tblPrEx>
          <w:tblCellMar>
            <w:top w:w="0" w:type="dxa"/>
            <w:bottom w:w="0" w:type="dxa"/>
          </w:tblCellMar>
        </w:tblPrEx>
        <w:tc>
          <w:tcPr>
            <w:tcW w:w="2400" w:type="dxa"/>
            <w:shd w:val="clear" w:color="auto" w:fill="FFFFFF"/>
          </w:tcPr>
          <w:p w14:paraId="6C5C2B1B" w14:textId="77777777" w:rsidR="00143F29" w:rsidRDefault="00000000">
            <w:pPr>
              <w:spacing w:before="60" w:after="60"/>
            </w:pPr>
            <w:r>
              <w:rPr>
                <w:color w:val="333333"/>
                <w:sz w:val="20"/>
                <w:szCs w:val="20"/>
              </w:rPr>
              <w:t>Supplier escalation for non-response</w:t>
            </w:r>
          </w:p>
        </w:tc>
        <w:tc>
          <w:tcPr>
            <w:tcW w:w="2400" w:type="dxa"/>
            <w:shd w:val="clear" w:color="auto" w:fill="FFFFFF"/>
          </w:tcPr>
          <w:p w14:paraId="26EE8D91" w14:textId="77777777" w:rsidR="00143F29" w:rsidRDefault="00000000">
            <w:pPr>
              <w:spacing w:before="60" w:after="60"/>
            </w:pPr>
            <w:r>
              <w:rPr>
                <w:color w:val="333333"/>
                <w:sz w:val="20"/>
                <w:szCs w:val="20"/>
              </w:rPr>
              <w:t>After [3] follow-ups</w:t>
            </w:r>
          </w:p>
        </w:tc>
        <w:tc>
          <w:tcPr>
            <w:tcW w:w="4560" w:type="dxa"/>
            <w:shd w:val="clear" w:color="auto" w:fill="FFFFFF"/>
          </w:tcPr>
          <w:p w14:paraId="28B9B6BD" w14:textId="77777777" w:rsidR="00143F29" w:rsidRDefault="00000000">
            <w:pPr>
              <w:spacing w:before="60" w:after="60"/>
            </w:pPr>
            <w:r>
              <w:rPr>
                <w:color w:val="333333"/>
                <w:sz w:val="20"/>
                <w:szCs w:val="20"/>
              </w:rPr>
              <w:t>Procurement VP</w:t>
            </w:r>
          </w:p>
        </w:tc>
      </w:tr>
      <w:tr w:rsidR="00143F29" w14:paraId="2CDDFE7D" w14:textId="77777777">
        <w:tblPrEx>
          <w:tblCellMar>
            <w:top w:w="0" w:type="dxa"/>
            <w:bottom w:w="0" w:type="dxa"/>
          </w:tblCellMar>
        </w:tblPrEx>
        <w:tc>
          <w:tcPr>
            <w:tcW w:w="2400" w:type="dxa"/>
            <w:shd w:val="clear" w:color="auto" w:fill="F5F5F5"/>
          </w:tcPr>
          <w:p w14:paraId="724F9EC0" w14:textId="77777777" w:rsidR="00143F29" w:rsidRDefault="00000000">
            <w:pPr>
              <w:spacing w:before="60" w:after="60"/>
            </w:pPr>
            <w:r>
              <w:rPr>
                <w:color w:val="333333"/>
                <w:sz w:val="20"/>
                <w:szCs w:val="20"/>
              </w:rPr>
              <w:t>Form SD filing</w:t>
            </w:r>
          </w:p>
        </w:tc>
        <w:tc>
          <w:tcPr>
            <w:tcW w:w="2400" w:type="dxa"/>
            <w:shd w:val="clear" w:color="auto" w:fill="F5F5F5"/>
          </w:tcPr>
          <w:p w14:paraId="738A219C" w14:textId="77777777" w:rsidR="00143F29" w:rsidRDefault="00000000">
            <w:pPr>
              <w:spacing w:before="60" w:after="60"/>
            </w:pPr>
            <w:r>
              <w:rPr>
                <w:color w:val="333333"/>
                <w:sz w:val="20"/>
                <w:szCs w:val="20"/>
              </w:rPr>
              <w:t>Annual</w:t>
            </w:r>
          </w:p>
        </w:tc>
        <w:tc>
          <w:tcPr>
            <w:tcW w:w="4560" w:type="dxa"/>
            <w:shd w:val="clear" w:color="auto" w:fill="F5F5F5"/>
          </w:tcPr>
          <w:p w14:paraId="1538533D" w14:textId="77777777" w:rsidR="00143F29" w:rsidRDefault="00000000">
            <w:pPr>
              <w:spacing w:before="60" w:after="60"/>
            </w:pPr>
            <w:r>
              <w:rPr>
                <w:color w:val="333333"/>
                <w:sz w:val="20"/>
                <w:szCs w:val="20"/>
              </w:rPr>
              <w:t>CFO + Legal</w:t>
            </w:r>
          </w:p>
        </w:tc>
      </w:tr>
      <w:tr w:rsidR="00143F29" w14:paraId="73A31808" w14:textId="77777777">
        <w:tblPrEx>
          <w:tblCellMar>
            <w:top w:w="0" w:type="dxa"/>
            <w:bottom w:w="0" w:type="dxa"/>
          </w:tblCellMar>
        </w:tblPrEx>
        <w:tc>
          <w:tcPr>
            <w:tcW w:w="2400" w:type="dxa"/>
            <w:shd w:val="clear" w:color="auto" w:fill="FFFFFF"/>
          </w:tcPr>
          <w:p w14:paraId="5B78C525" w14:textId="77777777" w:rsidR="00143F29" w:rsidRDefault="00000000">
            <w:pPr>
              <w:spacing w:before="60" w:after="60"/>
            </w:pPr>
            <w:r>
              <w:rPr>
                <w:color w:val="333333"/>
                <w:sz w:val="20"/>
                <w:szCs w:val="20"/>
              </w:rPr>
              <w:t>IPSA engagement</w:t>
            </w:r>
          </w:p>
        </w:tc>
        <w:tc>
          <w:tcPr>
            <w:tcW w:w="2400" w:type="dxa"/>
            <w:shd w:val="clear" w:color="auto" w:fill="FFFFFF"/>
          </w:tcPr>
          <w:p w14:paraId="432FFE13" w14:textId="77777777" w:rsidR="00143F29" w:rsidRDefault="00000000">
            <w:pPr>
              <w:spacing w:before="60" w:after="60"/>
            </w:pPr>
            <w:r>
              <w:rPr>
                <w:color w:val="333333"/>
                <w:sz w:val="20"/>
                <w:szCs w:val="20"/>
              </w:rPr>
              <w:t>If required</w:t>
            </w:r>
          </w:p>
        </w:tc>
        <w:tc>
          <w:tcPr>
            <w:tcW w:w="4560" w:type="dxa"/>
            <w:shd w:val="clear" w:color="auto" w:fill="FFFFFF"/>
          </w:tcPr>
          <w:p w14:paraId="2332EC61" w14:textId="77777777" w:rsidR="00143F29" w:rsidRDefault="00000000">
            <w:pPr>
              <w:spacing w:before="60" w:after="60"/>
            </w:pPr>
            <w:r>
              <w:rPr>
                <w:color w:val="333333"/>
                <w:sz w:val="20"/>
                <w:szCs w:val="20"/>
              </w:rPr>
              <w:t>CFO + Legal</w:t>
            </w:r>
          </w:p>
        </w:tc>
      </w:tr>
      <w:tr w:rsidR="00143F29" w14:paraId="0772A558" w14:textId="77777777">
        <w:tblPrEx>
          <w:tblCellMar>
            <w:top w:w="0" w:type="dxa"/>
            <w:bottom w:w="0" w:type="dxa"/>
          </w:tblCellMar>
        </w:tblPrEx>
        <w:tc>
          <w:tcPr>
            <w:tcW w:w="2400" w:type="dxa"/>
            <w:shd w:val="clear" w:color="auto" w:fill="F5F5F5"/>
          </w:tcPr>
          <w:p w14:paraId="52DDE018" w14:textId="77777777" w:rsidR="00143F29" w:rsidRDefault="00000000">
            <w:pPr>
              <w:spacing w:before="60" w:after="60"/>
            </w:pPr>
            <w:r>
              <w:rPr>
                <w:color w:val="333333"/>
                <w:sz w:val="20"/>
                <w:szCs w:val="20"/>
              </w:rPr>
              <w:t>Conflict minerals policy update</w:t>
            </w:r>
          </w:p>
        </w:tc>
        <w:tc>
          <w:tcPr>
            <w:tcW w:w="2400" w:type="dxa"/>
            <w:shd w:val="clear" w:color="auto" w:fill="F5F5F5"/>
          </w:tcPr>
          <w:p w14:paraId="24EAD5DB" w14:textId="77777777" w:rsidR="00143F29" w:rsidRDefault="00000000">
            <w:pPr>
              <w:spacing w:before="60" w:after="60"/>
            </w:pPr>
            <w:r>
              <w:rPr>
                <w:color w:val="333333"/>
                <w:sz w:val="20"/>
                <w:szCs w:val="20"/>
              </w:rPr>
              <w:t>All</w:t>
            </w:r>
          </w:p>
        </w:tc>
        <w:tc>
          <w:tcPr>
            <w:tcW w:w="4560" w:type="dxa"/>
            <w:shd w:val="clear" w:color="auto" w:fill="F5F5F5"/>
          </w:tcPr>
          <w:p w14:paraId="601B03EE" w14:textId="77777777" w:rsidR="00143F29" w:rsidRDefault="00000000">
            <w:pPr>
              <w:spacing w:before="60" w:after="60"/>
            </w:pPr>
            <w:r>
              <w:rPr>
                <w:color w:val="333333"/>
                <w:sz w:val="20"/>
                <w:szCs w:val="20"/>
              </w:rPr>
              <w:t>Program Manager + CFO</w:t>
            </w:r>
          </w:p>
        </w:tc>
      </w:tr>
      <w:tr w:rsidR="00143F29" w14:paraId="11B1CF02" w14:textId="77777777">
        <w:tblPrEx>
          <w:tblCellMar>
            <w:top w:w="0" w:type="dxa"/>
            <w:bottom w:w="0" w:type="dxa"/>
          </w:tblCellMar>
        </w:tblPrEx>
        <w:tc>
          <w:tcPr>
            <w:tcW w:w="2400" w:type="dxa"/>
            <w:shd w:val="clear" w:color="auto" w:fill="FFFFFF"/>
          </w:tcPr>
          <w:p w14:paraId="543DD950" w14:textId="77777777" w:rsidR="00143F29" w:rsidRDefault="00000000">
            <w:pPr>
              <w:spacing w:before="60" w:after="60"/>
            </w:pPr>
            <w:r>
              <w:rPr>
                <w:color w:val="333333"/>
                <w:sz w:val="20"/>
                <w:szCs w:val="20"/>
              </w:rPr>
              <w:t>Supplier termination for non-compliance</w:t>
            </w:r>
          </w:p>
        </w:tc>
        <w:tc>
          <w:tcPr>
            <w:tcW w:w="2400" w:type="dxa"/>
            <w:shd w:val="clear" w:color="auto" w:fill="FFFFFF"/>
          </w:tcPr>
          <w:p w14:paraId="63C6C2AE" w14:textId="77777777" w:rsidR="00143F29" w:rsidRDefault="00000000">
            <w:pPr>
              <w:spacing w:before="60" w:after="60"/>
            </w:pPr>
            <w:r>
              <w:rPr>
                <w:color w:val="333333"/>
                <w:sz w:val="20"/>
                <w:szCs w:val="20"/>
              </w:rPr>
              <w:t>All</w:t>
            </w:r>
          </w:p>
        </w:tc>
        <w:tc>
          <w:tcPr>
            <w:tcW w:w="4560" w:type="dxa"/>
            <w:shd w:val="clear" w:color="auto" w:fill="FFFFFF"/>
          </w:tcPr>
          <w:p w14:paraId="5B276746" w14:textId="77777777" w:rsidR="00143F29" w:rsidRDefault="00000000">
            <w:pPr>
              <w:spacing w:before="60" w:after="60"/>
            </w:pPr>
            <w:r>
              <w:rPr>
                <w:color w:val="333333"/>
                <w:sz w:val="20"/>
                <w:szCs w:val="20"/>
              </w:rPr>
              <w:t>Procurement VP + CFO</w:t>
            </w:r>
          </w:p>
        </w:tc>
      </w:tr>
      <w:tr w:rsidR="00143F29" w14:paraId="618F90B4" w14:textId="77777777">
        <w:tblPrEx>
          <w:tblCellMar>
            <w:top w:w="0" w:type="dxa"/>
            <w:bottom w:w="0" w:type="dxa"/>
          </w:tblCellMar>
        </w:tblPrEx>
        <w:tc>
          <w:tcPr>
            <w:tcW w:w="2400" w:type="dxa"/>
            <w:shd w:val="clear" w:color="auto" w:fill="F5F5F5"/>
          </w:tcPr>
          <w:p w14:paraId="6D5F4CC0" w14:textId="77777777" w:rsidR="00143F29" w:rsidRDefault="00000000">
            <w:pPr>
              <w:spacing w:before="60" w:after="60"/>
            </w:pPr>
            <w:r>
              <w:rPr>
                <w:color w:val="333333"/>
                <w:sz w:val="20"/>
                <w:szCs w:val="20"/>
              </w:rPr>
              <w:t>CMR public disclosure</w:t>
            </w:r>
          </w:p>
        </w:tc>
        <w:tc>
          <w:tcPr>
            <w:tcW w:w="2400" w:type="dxa"/>
            <w:shd w:val="clear" w:color="auto" w:fill="F5F5F5"/>
          </w:tcPr>
          <w:p w14:paraId="7C105776" w14:textId="77777777" w:rsidR="00143F29" w:rsidRDefault="00000000">
            <w:pPr>
              <w:spacing w:before="60" w:after="60"/>
            </w:pPr>
            <w:r>
              <w:rPr>
                <w:color w:val="333333"/>
                <w:sz w:val="20"/>
                <w:szCs w:val="20"/>
              </w:rPr>
              <w:t>Annual</w:t>
            </w:r>
          </w:p>
        </w:tc>
        <w:tc>
          <w:tcPr>
            <w:tcW w:w="4560" w:type="dxa"/>
            <w:shd w:val="clear" w:color="auto" w:fill="F5F5F5"/>
          </w:tcPr>
          <w:p w14:paraId="19F8317F" w14:textId="77777777" w:rsidR="00143F29" w:rsidRDefault="00000000">
            <w:pPr>
              <w:spacing w:before="60" w:after="60"/>
            </w:pPr>
            <w:r>
              <w:rPr>
                <w:color w:val="333333"/>
                <w:sz w:val="20"/>
                <w:szCs w:val="20"/>
              </w:rPr>
              <w:t>CFO + Legal</w:t>
            </w:r>
          </w:p>
        </w:tc>
      </w:tr>
    </w:tbl>
    <w:p w14:paraId="5BAF32BD" w14:textId="77777777" w:rsidR="00143F29" w:rsidRDefault="00000000">
      <w:r>
        <w:br w:type="page"/>
      </w:r>
    </w:p>
    <w:p w14:paraId="6B3A6555" w14:textId="77777777" w:rsidR="00143F29" w:rsidRDefault="00000000">
      <w:pPr>
        <w:pStyle w:val="Heading1"/>
        <w:pBdr>
          <w:bottom w:val="single" w:sz="4" w:space="0" w:color="D4AF37"/>
        </w:pBdr>
        <w:spacing w:before="400" w:after="200"/>
      </w:pPr>
      <w:bookmarkStart w:id="18" w:name="_Toc235439981"/>
      <w:r>
        <w:lastRenderedPageBreak/>
        <w:t>7. Exceptions &amp; Escalation</w:t>
      </w:r>
      <w:bookmarkEnd w:id="18"/>
    </w:p>
    <w:p w14:paraId="3A4E6491" w14:textId="77777777" w:rsidR="00143F29" w:rsidRDefault="00000000">
      <w:pPr>
        <w:spacing w:after="150"/>
        <w:jc w:val="both"/>
      </w:pPr>
      <w:r>
        <w:rPr>
          <w:color w:val="333333"/>
        </w:rPr>
        <w:t>Suppliers who fail to respond to [3] CMRT requests shall be escalated to the Procurement VP for direct engagement. If a supplier refuses to provide conflict minerals information after escalation, the matter shall be reviewed by the CFO and Legal to determine whether: alternative suppliers should be sourced, the business relationship should continue with enhanced risk disclosure, or the supplier should be terminated. [Company Name] shall not implement a de facto embargo on minerals from covered countries — the goal is responsible sourcing, not avoidance of the DRC.</w:t>
      </w:r>
    </w:p>
    <w:p w14:paraId="6C74DDB9" w14:textId="77777777" w:rsidR="00143F29" w:rsidRDefault="00000000">
      <w:r>
        <w:br w:type="page"/>
      </w:r>
    </w:p>
    <w:p w14:paraId="5A6AF43F" w14:textId="77777777" w:rsidR="00143F29" w:rsidRDefault="00000000">
      <w:pPr>
        <w:pStyle w:val="Heading1"/>
        <w:pBdr>
          <w:bottom w:val="single" w:sz="4" w:space="0" w:color="D4AF37"/>
        </w:pBdr>
        <w:spacing w:before="400" w:after="200"/>
      </w:pPr>
      <w:bookmarkStart w:id="19" w:name="_Toc235439982"/>
      <w:r>
        <w:lastRenderedPageBreak/>
        <w:t>8. Compliance Monitoring &amp; Testing</w:t>
      </w:r>
      <w:bookmarkEnd w:id="19"/>
    </w:p>
    <w:p w14:paraId="54290068" w14:textId="77777777" w:rsidR="00143F29" w:rsidRDefault="00000000">
      <w:pPr>
        <w:spacing w:after="80"/>
        <w:ind w:left="720"/>
      </w:pPr>
      <w:r>
        <w:rPr>
          <w:color w:val="D4AF37"/>
        </w:rPr>
        <w:t xml:space="preserve">•  </w:t>
      </w:r>
      <w:r>
        <w:rPr>
          <w:color w:val="333333"/>
        </w:rPr>
        <w:t>Annual CMRT distribution and collection cycle</w:t>
      </w:r>
    </w:p>
    <w:p w14:paraId="440188B9" w14:textId="77777777" w:rsidR="00143F29" w:rsidRDefault="00000000">
      <w:pPr>
        <w:spacing w:after="80"/>
        <w:ind w:left="720"/>
      </w:pPr>
      <w:r>
        <w:rPr>
          <w:color w:val="D4AF37"/>
        </w:rPr>
        <w:t xml:space="preserve">•  </w:t>
      </w:r>
      <w:r>
        <w:rPr>
          <w:color w:val="333333"/>
        </w:rPr>
        <w:t>Supplier response rate tracking (target improvement year over year)</w:t>
      </w:r>
    </w:p>
    <w:p w14:paraId="09E6ED1D" w14:textId="77777777" w:rsidR="00143F29" w:rsidRDefault="00000000">
      <w:pPr>
        <w:spacing w:after="80"/>
        <w:ind w:left="720"/>
      </w:pPr>
      <w:r>
        <w:rPr>
          <w:color w:val="D4AF37"/>
        </w:rPr>
        <w:t xml:space="preserve">•  </w:t>
      </w:r>
      <w:r>
        <w:rPr>
          <w:color w:val="333333"/>
        </w:rPr>
        <w:t>Smelter/refiner conformance rate tracking</w:t>
      </w:r>
    </w:p>
    <w:p w14:paraId="7B232515" w14:textId="77777777" w:rsidR="00143F29" w:rsidRDefault="00000000">
      <w:pPr>
        <w:spacing w:after="80"/>
        <w:ind w:left="720"/>
      </w:pPr>
      <w:r>
        <w:rPr>
          <w:color w:val="D4AF37"/>
        </w:rPr>
        <w:t xml:space="preserve">•  </w:t>
      </w:r>
      <w:r>
        <w:rPr>
          <w:color w:val="333333"/>
        </w:rPr>
        <w:t>Form SD filed by deadline annually</w:t>
      </w:r>
    </w:p>
    <w:p w14:paraId="0E5295A3" w14:textId="77777777" w:rsidR="00143F29" w:rsidRDefault="00000000">
      <w:pPr>
        <w:spacing w:after="80"/>
        <w:ind w:left="720"/>
      </w:pPr>
      <w:r>
        <w:rPr>
          <w:color w:val="D4AF37"/>
        </w:rPr>
        <w:t xml:space="preserve">•  </w:t>
      </w:r>
      <w:r>
        <w:rPr>
          <w:color w:val="333333"/>
        </w:rPr>
        <w:t>Compliance cost tracking and reporting to CFO</w:t>
      </w:r>
    </w:p>
    <w:p w14:paraId="11433D33" w14:textId="77777777" w:rsidR="00143F29" w:rsidRDefault="00000000">
      <w:pPr>
        <w:pStyle w:val="Heading2"/>
        <w:spacing w:before="300" w:after="150"/>
      </w:pPr>
      <w:bookmarkStart w:id="20" w:name="_Toc235439983"/>
      <w:r>
        <w:t>8.1 Key Metrics</w:t>
      </w:r>
      <w:bookmarkEnd w:id="20"/>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62CFFFE4" w14:textId="77777777">
        <w:tblPrEx>
          <w:tblCellMar>
            <w:top w:w="0" w:type="dxa"/>
            <w:bottom w:w="0" w:type="dxa"/>
          </w:tblCellMar>
        </w:tblPrEx>
        <w:tc>
          <w:tcPr>
            <w:tcW w:w="3200" w:type="dxa"/>
            <w:shd w:val="clear" w:color="auto" w:fill="0C0C0C"/>
          </w:tcPr>
          <w:p w14:paraId="5B8F7CBB" w14:textId="77777777" w:rsidR="00143F29" w:rsidRDefault="00000000">
            <w:pPr>
              <w:spacing w:before="60" w:after="60"/>
            </w:pPr>
            <w:r>
              <w:rPr>
                <w:b/>
                <w:bCs/>
                <w:color w:val="D4AF37"/>
                <w:sz w:val="20"/>
                <w:szCs w:val="20"/>
              </w:rPr>
              <w:t>Metric</w:t>
            </w:r>
          </w:p>
        </w:tc>
        <w:tc>
          <w:tcPr>
            <w:tcW w:w="6160" w:type="dxa"/>
            <w:shd w:val="clear" w:color="auto" w:fill="0C0C0C"/>
          </w:tcPr>
          <w:p w14:paraId="2AB0FC69" w14:textId="77777777" w:rsidR="00143F29" w:rsidRDefault="00000000">
            <w:pPr>
              <w:spacing w:before="60" w:after="60"/>
            </w:pPr>
            <w:r>
              <w:rPr>
                <w:b/>
                <w:bCs/>
                <w:color w:val="D4AF37"/>
                <w:sz w:val="20"/>
                <w:szCs w:val="20"/>
              </w:rPr>
              <w:t>Target</w:t>
            </w:r>
          </w:p>
        </w:tc>
      </w:tr>
      <w:tr w:rsidR="00143F29" w14:paraId="54DC3943" w14:textId="77777777">
        <w:tblPrEx>
          <w:tblCellMar>
            <w:top w:w="0" w:type="dxa"/>
            <w:bottom w:w="0" w:type="dxa"/>
          </w:tblCellMar>
        </w:tblPrEx>
        <w:tc>
          <w:tcPr>
            <w:tcW w:w="3200" w:type="dxa"/>
            <w:shd w:val="clear" w:color="auto" w:fill="FFFFFF"/>
          </w:tcPr>
          <w:p w14:paraId="6098AD0F" w14:textId="77777777" w:rsidR="00143F29" w:rsidRDefault="00000000">
            <w:pPr>
              <w:spacing w:before="60" w:after="60"/>
            </w:pPr>
            <w:r>
              <w:rPr>
                <w:color w:val="333333"/>
                <w:sz w:val="20"/>
                <w:szCs w:val="20"/>
              </w:rPr>
              <w:t>Supplier CMRT response rate</w:t>
            </w:r>
          </w:p>
        </w:tc>
        <w:tc>
          <w:tcPr>
            <w:tcW w:w="6160" w:type="dxa"/>
            <w:shd w:val="clear" w:color="auto" w:fill="FFFFFF"/>
          </w:tcPr>
          <w:p w14:paraId="5C34137B" w14:textId="77777777" w:rsidR="00143F29" w:rsidRDefault="00000000">
            <w:pPr>
              <w:spacing w:before="60" w:after="60"/>
            </w:pPr>
            <w:r>
              <w:rPr>
                <w:color w:val="333333"/>
                <w:sz w:val="20"/>
                <w:szCs w:val="20"/>
              </w:rPr>
              <w:t>[90%+] (improving annually)</w:t>
            </w:r>
          </w:p>
        </w:tc>
      </w:tr>
      <w:tr w:rsidR="00143F29" w14:paraId="23CD9394" w14:textId="77777777">
        <w:tblPrEx>
          <w:tblCellMar>
            <w:top w:w="0" w:type="dxa"/>
            <w:bottom w:w="0" w:type="dxa"/>
          </w:tblCellMar>
        </w:tblPrEx>
        <w:tc>
          <w:tcPr>
            <w:tcW w:w="3200" w:type="dxa"/>
            <w:shd w:val="clear" w:color="auto" w:fill="F5F5F5"/>
          </w:tcPr>
          <w:p w14:paraId="1F8DA88B" w14:textId="77777777" w:rsidR="00143F29" w:rsidRDefault="00000000">
            <w:pPr>
              <w:spacing w:before="60" w:after="60"/>
            </w:pPr>
            <w:r>
              <w:rPr>
                <w:color w:val="333333"/>
                <w:sz w:val="20"/>
                <w:szCs w:val="20"/>
              </w:rPr>
              <w:t>Smelters/refiners on RMI conformant list</w:t>
            </w:r>
          </w:p>
        </w:tc>
        <w:tc>
          <w:tcPr>
            <w:tcW w:w="6160" w:type="dxa"/>
            <w:shd w:val="clear" w:color="auto" w:fill="F5F5F5"/>
          </w:tcPr>
          <w:p w14:paraId="188790E0" w14:textId="77777777" w:rsidR="00143F29" w:rsidRDefault="00000000">
            <w:pPr>
              <w:spacing w:before="60" w:after="60"/>
            </w:pPr>
            <w:r>
              <w:rPr>
                <w:color w:val="333333"/>
                <w:sz w:val="20"/>
                <w:szCs w:val="20"/>
              </w:rPr>
              <w:t>[80%+] of identified smelters</w:t>
            </w:r>
          </w:p>
        </w:tc>
      </w:tr>
      <w:tr w:rsidR="00143F29" w14:paraId="55182069" w14:textId="77777777">
        <w:tblPrEx>
          <w:tblCellMar>
            <w:top w:w="0" w:type="dxa"/>
            <w:bottom w:w="0" w:type="dxa"/>
          </w:tblCellMar>
        </w:tblPrEx>
        <w:tc>
          <w:tcPr>
            <w:tcW w:w="3200" w:type="dxa"/>
            <w:shd w:val="clear" w:color="auto" w:fill="FFFFFF"/>
          </w:tcPr>
          <w:p w14:paraId="20A36311" w14:textId="77777777" w:rsidR="00143F29" w:rsidRDefault="00000000">
            <w:pPr>
              <w:spacing w:before="60" w:after="60"/>
            </w:pPr>
            <w:r>
              <w:rPr>
                <w:color w:val="333333"/>
                <w:sz w:val="20"/>
                <w:szCs w:val="20"/>
              </w:rPr>
              <w:t>Form SD filed on time</w:t>
            </w:r>
          </w:p>
        </w:tc>
        <w:tc>
          <w:tcPr>
            <w:tcW w:w="6160" w:type="dxa"/>
            <w:shd w:val="clear" w:color="auto" w:fill="FFFFFF"/>
          </w:tcPr>
          <w:p w14:paraId="371C55E6" w14:textId="77777777" w:rsidR="00143F29" w:rsidRDefault="00000000">
            <w:pPr>
              <w:spacing w:before="60" w:after="60"/>
            </w:pPr>
            <w:r>
              <w:rPr>
                <w:color w:val="333333"/>
                <w:sz w:val="20"/>
                <w:szCs w:val="20"/>
              </w:rPr>
              <w:t>100%</w:t>
            </w:r>
          </w:p>
        </w:tc>
      </w:tr>
      <w:tr w:rsidR="00143F29" w14:paraId="14B8EEE9" w14:textId="77777777">
        <w:tblPrEx>
          <w:tblCellMar>
            <w:top w:w="0" w:type="dxa"/>
            <w:bottom w:w="0" w:type="dxa"/>
          </w:tblCellMar>
        </w:tblPrEx>
        <w:tc>
          <w:tcPr>
            <w:tcW w:w="3200" w:type="dxa"/>
            <w:shd w:val="clear" w:color="auto" w:fill="F5F5F5"/>
          </w:tcPr>
          <w:p w14:paraId="19A03D67" w14:textId="77777777" w:rsidR="00143F29" w:rsidRDefault="00000000">
            <w:pPr>
              <w:spacing w:before="60" w:after="60"/>
            </w:pPr>
            <w:r>
              <w:rPr>
                <w:color w:val="333333"/>
                <w:sz w:val="20"/>
                <w:szCs w:val="20"/>
              </w:rPr>
              <w:t>Products with undetermined 3TG origin</w:t>
            </w:r>
          </w:p>
        </w:tc>
        <w:tc>
          <w:tcPr>
            <w:tcW w:w="6160" w:type="dxa"/>
            <w:shd w:val="clear" w:color="auto" w:fill="F5F5F5"/>
          </w:tcPr>
          <w:p w14:paraId="3360696B" w14:textId="77777777" w:rsidR="00143F29" w:rsidRDefault="00000000">
            <w:pPr>
              <w:spacing w:before="60" w:after="60"/>
            </w:pPr>
            <w:r>
              <w:rPr>
                <w:color w:val="333333"/>
                <w:sz w:val="20"/>
                <w:szCs w:val="20"/>
              </w:rPr>
              <w:t>Declining trend</w:t>
            </w:r>
          </w:p>
        </w:tc>
      </w:tr>
      <w:tr w:rsidR="00143F29" w14:paraId="6B26DF09" w14:textId="77777777">
        <w:tblPrEx>
          <w:tblCellMar>
            <w:top w:w="0" w:type="dxa"/>
            <w:bottom w:w="0" w:type="dxa"/>
          </w:tblCellMar>
        </w:tblPrEx>
        <w:tc>
          <w:tcPr>
            <w:tcW w:w="3200" w:type="dxa"/>
            <w:shd w:val="clear" w:color="auto" w:fill="FFFFFF"/>
          </w:tcPr>
          <w:p w14:paraId="15B22D99" w14:textId="77777777" w:rsidR="00143F29" w:rsidRDefault="00000000">
            <w:pPr>
              <w:spacing w:before="60" w:after="60"/>
            </w:pPr>
            <w:r>
              <w:rPr>
                <w:color w:val="333333"/>
                <w:sz w:val="20"/>
                <w:szCs w:val="20"/>
              </w:rPr>
              <w:t>Compliance program cost</w:t>
            </w:r>
          </w:p>
        </w:tc>
        <w:tc>
          <w:tcPr>
            <w:tcW w:w="6160" w:type="dxa"/>
            <w:shd w:val="clear" w:color="auto" w:fill="FFFFFF"/>
          </w:tcPr>
          <w:p w14:paraId="6F8C0EF6" w14:textId="77777777" w:rsidR="00143F29" w:rsidRDefault="00000000">
            <w:pPr>
              <w:spacing w:before="60" w:after="60"/>
            </w:pPr>
            <w:r>
              <w:rPr>
                <w:color w:val="333333"/>
                <w:sz w:val="20"/>
                <w:szCs w:val="20"/>
              </w:rPr>
              <w:t>Tracked and benchmarked</w:t>
            </w:r>
          </w:p>
        </w:tc>
      </w:tr>
      <w:tr w:rsidR="00143F29" w14:paraId="5C2B7FA7" w14:textId="77777777">
        <w:tblPrEx>
          <w:tblCellMar>
            <w:top w:w="0" w:type="dxa"/>
            <w:bottom w:w="0" w:type="dxa"/>
          </w:tblCellMar>
        </w:tblPrEx>
        <w:tc>
          <w:tcPr>
            <w:tcW w:w="3200" w:type="dxa"/>
            <w:shd w:val="clear" w:color="auto" w:fill="F5F5F5"/>
          </w:tcPr>
          <w:p w14:paraId="4D475D38" w14:textId="77777777" w:rsidR="00143F29" w:rsidRDefault="00000000">
            <w:pPr>
              <w:spacing w:before="60" w:after="60"/>
            </w:pPr>
            <w:r>
              <w:rPr>
                <w:color w:val="333333"/>
                <w:sz w:val="20"/>
                <w:szCs w:val="20"/>
              </w:rPr>
              <w:t>Supplier engagement follow-up completion</w:t>
            </w:r>
          </w:p>
        </w:tc>
        <w:tc>
          <w:tcPr>
            <w:tcW w:w="6160" w:type="dxa"/>
            <w:shd w:val="clear" w:color="auto" w:fill="F5F5F5"/>
          </w:tcPr>
          <w:p w14:paraId="45D01E69" w14:textId="77777777" w:rsidR="00143F29" w:rsidRDefault="00000000">
            <w:pPr>
              <w:spacing w:before="60" w:after="60"/>
            </w:pPr>
            <w:r>
              <w:rPr>
                <w:color w:val="333333"/>
                <w:sz w:val="20"/>
                <w:szCs w:val="20"/>
              </w:rPr>
              <w:t>100% of non-responders contacted [3] times</w:t>
            </w:r>
          </w:p>
        </w:tc>
      </w:tr>
    </w:tbl>
    <w:p w14:paraId="0BCD1DE3" w14:textId="77777777" w:rsidR="00143F29" w:rsidRDefault="00000000">
      <w:r>
        <w:br w:type="page"/>
      </w:r>
    </w:p>
    <w:p w14:paraId="57003660" w14:textId="77777777" w:rsidR="00143F29" w:rsidRDefault="00000000">
      <w:pPr>
        <w:pStyle w:val="Heading1"/>
        <w:pBdr>
          <w:bottom w:val="single" w:sz="4" w:space="0" w:color="D4AF37"/>
        </w:pBdr>
        <w:spacing w:before="400" w:after="200"/>
      </w:pPr>
      <w:bookmarkStart w:id="21" w:name="_Toc235439984"/>
      <w:r>
        <w:lastRenderedPageBreak/>
        <w:t>9. Related Policies &amp; References</w:t>
      </w:r>
      <w:bookmarkEnd w:id="21"/>
    </w:p>
    <w:p w14:paraId="3E32E175" w14:textId="77777777" w:rsidR="00143F29" w:rsidRDefault="00000000">
      <w:pPr>
        <w:spacing w:after="80"/>
        <w:ind w:left="720"/>
      </w:pPr>
      <w:r>
        <w:rPr>
          <w:color w:val="D4AF37"/>
        </w:rPr>
        <w:t xml:space="preserve">•  </w:t>
      </w:r>
      <w:r>
        <w:rPr>
          <w:color w:val="333333"/>
        </w:rPr>
        <w:t>Vendor Management Policy</w:t>
      </w:r>
    </w:p>
    <w:p w14:paraId="41002483" w14:textId="77777777" w:rsidR="00143F29" w:rsidRDefault="00000000">
      <w:pPr>
        <w:spacing w:after="80"/>
        <w:ind w:left="720"/>
      </w:pPr>
      <w:r>
        <w:rPr>
          <w:color w:val="D4AF37"/>
        </w:rPr>
        <w:t xml:space="preserve">•  </w:t>
      </w:r>
      <w:r>
        <w:rPr>
          <w:color w:val="333333"/>
        </w:rPr>
        <w:t>Procurement &amp; Purchasing Policy</w:t>
      </w:r>
    </w:p>
    <w:p w14:paraId="3D859BB8" w14:textId="77777777" w:rsidR="00143F29" w:rsidRDefault="00000000">
      <w:pPr>
        <w:spacing w:after="80"/>
        <w:ind w:left="720"/>
      </w:pPr>
      <w:r>
        <w:rPr>
          <w:color w:val="D4AF37"/>
        </w:rPr>
        <w:t xml:space="preserve">•  </w:t>
      </w:r>
      <w:r>
        <w:rPr>
          <w:color w:val="333333"/>
        </w:rPr>
        <w:t>ESG &amp; Sustainability Reporting Policy</w:t>
      </w:r>
    </w:p>
    <w:p w14:paraId="49B3AB6C" w14:textId="77777777" w:rsidR="00143F29" w:rsidRDefault="00000000">
      <w:pPr>
        <w:spacing w:after="80"/>
        <w:ind w:left="720"/>
      </w:pPr>
      <w:r>
        <w:rPr>
          <w:color w:val="D4AF37"/>
        </w:rPr>
        <w:t xml:space="preserve">•  </w:t>
      </w:r>
      <w:r>
        <w:rPr>
          <w:color w:val="333333"/>
        </w:rPr>
        <w:t>Disclosure Controls &amp; Procedures Policy</w:t>
      </w:r>
    </w:p>
    <w:p w14:paraId="0CC43650" w14:textId="77777777" w:rsidR="00143F29" w:rsidRDefault="00000000">
      <w:pPr>
        <w:spacing w:after="80"/>
        <w:ind w:left="720"/>
      </w:pPr>
      <w:r>
        <w:rPr>
          <w:color w:val="D4AF37"/>
        </w:rPr>
        <w:t xml:space="preserve">•  </w:t>
      </w:r>
      <w:r>
        <w:rPr>
          <w:color w:val="333333"/>
        </w:rPr>
        <w:t>Dodd-Frank Act Section 1502</w:t>
      </w:r>
    </w:p>
    <w:p w14:paraId="5E645A00" w14:textId="77777777" w:rsidR="00143F29" w:rsidRDefault="00000000">
      <w:pPr>
        <w:spacing w:after="80"/>
        <w:ind w:left="720"/>
      </w:pPr>
      <w:r>
        <w:rPr>
          <w:color w:val="D4AF37"/>
        </w:rPr>
        <w:t xml:space="preserve">•  </w:t>
      </w:r>
      <w:r>
        <w:rPr>
          <w:color w:val="333333"/>
        </w:rPr>
        <w:t>SEC Rule 13p-1 and Form SD</w:t>
      </w:r>
    </w:p>
    <w:p w14:paraId="4ADDA204" w14:textId="77777777" w:rsidR="00143F29" w:rsidRDefault="00000000">
      <w:pPr>
        <w:spacing w:after="80"/>
        <w:ind w:left="720"/>
      </w:pPr>
      <w:r>
        <w:rPr>
          <w:color w:val="D4AF37"/>
        </w:rPr>
        <w:t xml:space="preserve">•  </w:t>
      </w:r>
      <w:r>
        <w:rPr>
          <w:color w:val="333333"/>
        </w:rPr>
        <w:t>OECD Due Diligence Guidance for Responsible Supply Chains</w:t>
      </w:r>
    </w:p>
    <w:p w14:paraId="339D627F" w14:textId="77777777" w:rsidR="00143F29" w:rsidRDefault="00000000">
      <w:pPr>
        <w:spacing w:after="80"/>
        <w:ind w:left="720"/>
      </w:pPr>
      <w:r>
        <w:rPr>
          <w:color w:val="D4AF37"/>
        </w:rPr>
        <w:t xml:space="preserve">•  </w:t>
      </w:r>
      <w:r>
        <w:rPr>
          <w:color w:val="333333"/>
        </w:rPr>
        <w:t>EU Conflict Minerals Regulation (2017/821)</w:t>
      </w:r>
    </w:p>
    <w:p w14:paraId="37D88352" w14:textId="77777777" w:rsidR="00143F29" w:rsidRDefault="00000000">
      <w:pPr>
        <w:spacing w:after="80"/>
        <w:ind w:left="720"/>
      </w:pPr>
      <w:r>
        <w:rPr>
          <w:color w:val="D4AF37"/>
        </w:rPr>
        <w:t xml:space="preserve">•  </w:t>
      </w:r>
      <w:r>
        <w:rPr>
          <w:color w:val="333333"/>
        </w:rPr>
        <w:t>Responsible Minerals Initiative (RMI) resources</w:t>
      </w:r>
    </w:p>
    <w:p w14:paraId="0832AAD2" w14:textId="77777777" w:rsidR="00143F29" w:rsidRDefault="00000000">
      <w:r>
        <w:br w:type="page"/>
      </w:r>
    </w:p>
    <w:p w14:paraId="1ACFFF73" w14:textId="77777777" w:rsidR="00143F29" w:rsidRDefault="00000000">
      <w:pPr>
        <w:pStyle w:val="Heading1"/>
        <w:pBdr>
          <w:bottom w:val="single" w:sz="4" w:space="0" w:color="D4AF37"/>
        </w:pBdr>
        <w:spacing w:before="400" w:after="200"/>
      </w:pPr>
      <w:bookmarkStart w:id="22" w:name="_Toc235439985"/>
      <w:r>
        <w:lastRenderedPageBreak/>
        <w:t>10. Appendices</w:t>
      </w:r>
      <w:bookmarkEnd w:id="22"/>
    </w:p>
    <w:p w14:paraId="3887AB5B" w14:textId="77777777" w:rsidR="00143F29" w:rsidRDefault="00000000">
      <w:pPr>
        <w:pStyle w:val="Heading2"/>
        <w:spacing w:before="300" w:after="150"/>
      </w:pPr>
      <w:bookmarkStart w:id="23" w:name="_Toc235439986"/>
      <w:r>
        <w:t>Appendix A — Product-to-Mineral Mapping</w:t>
      </w:r>
      <w:bookmarkEnd w:id="23"/>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4385D2CC" w14:textId="77777777">
        <w:tblPrEx>
          <w:tblCellMar>
            <w:top w:w="0" w:type="dxa"/>
            <w:bottom w:w="0" w:type="dxa"/>
          </w:tblCellMar>
        </w:tblPrEx>
        <w:tc>
          <w:tcPr>
            <w:tcW w:w="3200" w:type="dxa"/>
            <w:shd w:val="clear" w:color="auto" w:fill="0C0C0C"/>
          </w:tcPr>
          <w:p w14:paraId="47C58DF6" w14:textId="77777777" w:rsidR="00143F29" w:rsidRDefault="00000000">
            <w:pPr>
              <w:spacing w:before="60" w:after="60"/>
            </w:pPr>
            <w:r>
              <w:rPr>
                <w:b/>
                <w:bCs/>
                <w:color w:val="D4AF37"/>
                <w:sz w:val="20"/>
                <w:szCs w:val="20"/>
              </w:rPr>
              <w:t>Product / Component</w:t>
            </w:r>
          </w:p>
        </w:tc>
        <w:tc>
          <w:tcPr>
            <w:tcW w:w="6160" w:type="dxa"/>
            <w:shd w:val="clear" w:color="auto" w:fill="0C0C0C"/>
          </w:tcPr>
          <w:p w14:paraId="00E3F049" w14:textId="77777777" w:rsidR="00143F29" w:rsidRDefault="00000000">
            <w:pPr>
              <w:spacing w:before="60" w:after="60"/>
            </w:pPr>
            <w:r>
              <w:rPr>
                <w:b/>
                <w:bCs/>
                <w:color w:val="D4AF37"/>
                <w:sz w:val="20"/>
                <w:szCs w:val="20"/>
              </w:rPr>
              <w:t>Tin</w:t>
            </w:r>
          </w:p>
        </w:tc>
      </w:tr>
      <w:tr w:rsidR="00143F29" w14:paraId="318960B3" w14:textId="77777777">
        <w:tblPrEx>
          <w:tblCellMar>
            <w:top w:w="0" w:type="dxa"/>
            <w:bottom w:w="0" w:type="dxa"/>
          </w:tblCellMar>
        </w:tblPrEx>
        <w:tc>
          <w:tcPr>
            <w:tcW w:w="3200" w:type="dxa"/>
            <w:shd w:val="clear" w:color="auto" w:fill="FFFFFF"/>
          </w:tcPr>
          <w:p w14:paraId="7FF4B160" w14:textId="77777777" w:rsidR="00143F29" w:rsidRDefault="00000000">
            <w:pPr>
              <w:spacing w:before="60" w:after="60"/>
            </w:pPr>
            <w:r>
              <w:rPr>
                <w:color w:val="333333"/>
                <w:sz w:val="20"/>
                <w:szCs w:val="20"/>
              </w:rPr>
              <w:t>[Product A]</w:t>
            </w:r>
          </w:p>
        </w:tc>
        <w:tc>
          <w:tcPr>
            <w:tcW w:w="6160" w:type="dxa"/>
            <w:shd w:val="clear" w:color="auto" w:fill="FFFFFF"/>
          </w:tcPr>
          <w:p w14:paraId="6945B04D" w14:textId="77777777" w:rsidR="00143F29" w:rsidRDefault="00000000">
            <w:pPr>
              <w:spacing w:before="60" w:after="60"/>
            </w:pPr>
            <w:r>
              <w:rPr>
                <w:color w:val="333333"/>
                <w:sz w:val="20"/>
                <w:szCs w:val="20"/>
              </w:rPr>
              <w:t>Yes/No</w:t>
            </w:r>
          </w:p>
        </w:tc>
      </w:tr>
      <w:tr w:rsidR="00143F29" w14:paraId="230C419E" w14:textId="77777777">
        <w:tblPrEx>
          <w:tblCellMar>
            <w:top w:w="0" w:type="dxa"/>
            <w:bottom w:w="0" w:type="dxa"/>
          </w:tblCellMar>
        </w:tblPrEx>
        <w:tc>
          <w:tcPr>
            <w:tcW w:w="3200" w:type="dxa"/>
            <w:shd w:val="clear" w:color="auto" w:fill="F5F5F5"/>
          </w:tcPr>
          <w:p w14:paraId="7E4F8DFD" w14:textId="77777777" w:rsidR="00143F29" w:rsidRDefault="00000000">
            <w:pPr>
              <w:spacing w:before="60" w:after="60"/>
            </w:pPr>
            <w:r>
              <w:rPr>
                <w:color w:val="333333"/>
                <w:sz w:val="20"/>
                <w:szCs w:val="20"/>
              </w:rPr>
              <w:t>[Product B]</w:t>
            </w:r>
          </w:p>
        </w:tc>
        <w:tc>
          <w:tcPr>
            <w:tcW w:w="6160" w:type="dxa"/>
            <w:shd w:val="clear" w:color="auto" w:fill="F5F5F5"/>
          </w:tcPr>
          <w:p w14:paraId="4D071061" w14:textId="77777777" w:rsidR="00143F29" w:rsidRDefault="00143F29">
            <w:pPr>
              <w:spacing w:before="60" w:after="60"/>
            </w:pPr>
          </w:p>
        </w:tc>
      </w:tr>
    </w:tbl>
    <w:p w14:paraId="283DFEDA" w14:textId="77777777" w:rsidR="00143F29" w:rsidRDefault="00000000">
      <w:pPr>
        <w:pBdr>
          <w:left w:val="single" w:sz="8" w:space="0" w:color="D4AF37"/>
        </w:pBdr>
        <w:spacing w:before="100" w:after="200"/>
        <w:ind w:left="360"/>
      </w:pPr>
      <w:r>
        <w:rPr>
          <w:b/>
          <w:bCs/>
          <w:color w:val="D4AF37"/>
          <w:sz w:val="20"/>
          <w:szCs w:val="20"/>
        </w:rPr>
        <w:t xml:space="preserve">Note: </w:t>
      </w:r>
      <w:r>
        <w:rPr>
          <w:i/>
          <w:iCs/>
          <w:color w:val="666666"/>
          <w:sz w:val="20"/>
          <w:szCs w:val="20"/>
        </w:rPr>
        <w:t>Full mapping maintained by Product Management with all products and components assessed for 3TG content.</w:t>
      </w:r>
    </w:p>
    <w:p w14:paraId="6D66AA5D" w14:textId="77777777" w:rsidR="00143F29" w:rsidRDefault="00000000">
      <w:pPr>
        <w:pStyle w:val="Heading2"/>
        <w:spacing w:before="300" w:after="150"/>
      </w:pPr>
      <w:bookmarkStart w:id="24" w:name="_Toc235439987"/>
      <w:r>
        <w:t>Appendix B — CMRT Response Tracking</w:t>
      </w:r>
      <w:bookmarkEnd w:id="2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6E46621C" w14:textId="77777777">
        <w:tblPrEx>
          <w:tblCellMar>
            <w:top w:w="0" w:type="dxa"/>
            <w:bottom w:w="0" w:type="dxa"/>
          </w:tblCellMar>
        </w:tblPrEx>
        <w:tc>
          <w:tcPr>
            <w:tcW w:w="3200" w:type="dxa"/>
            <w:shd w:val="clear" w:color="auto" w:fill="0C0C0C"/>
          </w:tcPr>
          <w:p w14:paraId="16A2A255" w14:textId="77777777" w:rsidR="00143F29" w:rsidRDefault="00000000">
            <w:pPr>
              <w:spacing w:before="60" w:after="60"/>
            </w:pPr>
            <w:r>
              <w:rPr>
                <w:b/>
                <w:bCs/>
                <w:color w:val="D4AF37"/>
                <w:sz w:val="20"/>
                <w:szCs w:val="20"/>
              </w:rPr>
              <w:t>Supplier</w:t>
            </w:r>
          </w:p>
        </w:tc>
        <w:tc>
          <w:tcPr>
            <w:tcW w:w="6160" w:type="dxa"/>
            <w:shd w:val="clear" w:color="auto" w:fill="0C0C0C"/>
          </w:tcPr>
          <w:p w14:paraId="783A43C2" w14:textId="77777777" w:rsidR="00143F29" w:rsidRDefault="00000000">
            <w:pPr>
              <w:spacing w:before="60" w:after="60"/>
            </w:pPr>
            <w:r>
              <w:rPr>
                <w:b/>
                <w:bCs/>
                <w:color w:val="D4AF37"/>
                <w:sz w:val="20"/>
                <w:szCs w:val="20"/>
              </w:rPr>
              <w:t>CMRT Sent</w:t>
            </w:r>
          </w:p>
        </w:tc>
      </w:tr>
      <w:tr w:rsidR="00143F29" w14:paraId="51FB4B2C" w14:textId="77777777">
        <w:tblPrEx>
          <w:tblCellMar>
            <w:top w:w="0" w:type="dxa"/>
            <w:bottom w:w="0" w:type="dxa"/>
          </w:tblCellMar>
        </w:tblPrEx>
        <w:tc>
          <w:tcPr>
            <w:tcW w:w="3200" w:type="dxa"/>
            <w:shd w:val="clear" w:color="auto" w:fill="FFFFFF"/>
          </w:tcPr>
          <w:p w14:paraId="1D2EB719" w14:textId="77777777" w:rsidR="00143F29" w:rsidRDefault="00000000">
            <w:pPr>
              <w:spacing w:before="60" w:after="60"/>
            </w:pPr>
            <w:r>
              <w:rPr>
                <w:color w:val="333333"/>
                <w:sz w:val="20"/>
                <w:szCs w:val="20"/>
              </w:rPr>
              <w:t>[Supplier 1]</w:t>
            </w:r>
          </w:p>
        </w:tc>
        <w:tc>
          <w:tcPr>
            <w:tcW w:w="6160" w:type="dxa"/>
            <w:shd w:val="clear" w:color="auto" w:fill="FFFFFF"/>
          </w:tcPr>
          <w:p w14:paraId="2432F55A" w14:textId="77777777" w:rsidR="00143F29" w:rsidRDefault="00000000">
            <w:pPr>
              <w:spacing w:before="60" w:after="60"/>
            </w:pPr>
            <w:r>
              <w:rPr>
                <w:color w:val="333333"/>
                <w:sz w:val="20"/>
                <w:szCs w:val="20"/>
              </w:rPr>
              <w:t>[Date]</w:t>
            </w:r>
          </w:p>
        </w:tc>
      </w:tr>
    </w:tbl>
    <w:p w14:paraId="307FA9C8" w14:textId="77777777" w:rsidR="00143F29" w:rsidRDefault="00000000">
      <w:r>
        <w:br w:type="page"/>
      </w:r>
    </w:p>
    <w:p w14:paraId="2CA12C7B" w14:textId="77777777" w:rsidR="00143F29" w:rsidRDefault="00000000">
      <w:pPr>
        <w:pStyle w:val="Heading1"/>
        <w:pBdr>
          <w:bottom w:val="single" w:sz="4" w:space="0" w:color="D4AF37"/>
        </w:pBdr>
        <w:spacing w:before="400" w:after="200"/>
      </w:pPr>
      <w:bookmarkStart w:id="25" w:name="_Toc235439988"/>
      <w:r>
        <w:lastRenderedPageBreak/>
        <w:t>Revision History</w:t>
      </w:r>
      <w:bookmarkEnd w:id="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400"/>
        <w:gridCol w:w="2400"/>
        <w:gridCol w:w="4560"/>
      </w:tblGrid>
      <w:tr w:rsidR="00143F29" w14:paraId="364B0B37" w14:textId="77777777">
        <w:tblPrEx>
          <w:tblCellMar>
            <w:top w:w="0" w:type="dxa"/>
            <w:bottom w:w="0" w:type="dxa"/>
          </w:tblCellMar>
        </w:tblPrEx>
        <w:tc>
          <w:tcPr>
            <w:tcW w:w="2400" w:type="dxa"/>
            <w:shd w:val="clear" w:color="auto" w:fill="0C0C0C"/>
          </w:tcPr>
          <w:p w14:paraId="3E3447D2" w14:textId="77777777" w:rsidR="00143F29" w:rsidRDefault="00000000">
            <w:pPr>
              <w:spacing w:before="60" w:after="60"/>
            </w:pPr>
            <w:r>
              <w:rPr>
                <w:b/>
                <w:bCs/>
                <w:color w:val="D4AF37"/>
                <w:sz w:val="20"/>
                <w:szCs w:val="20"/>
              </w:rPr>
              <w:t>Version</w:t>
            </w:r>
          </w:p>
        </w:tc>
        <w:tc>
          <w:tcPr>
            <w:tcW w:w="2400" w:type="dxa"/>
            <w:shd w:val="clear" w:color="auto" w:fill="0C0C0C"/>
          </w:tcPr>
          <w:p w14:paraId="76B414A8" w14:textId="77777777" w:rsidR="00143F29" w:rsidRDefault="00000000">
            <w:pPr>
              <w:spacing w:before="60" w:after="60"/>
            </w:pPr>
            <w:r>
              <w:rPr>
                <w:b/>
                <w:bCs/>
                <w:color w:val="D4AF37"/>
                <w:sz w:val="20"/>
                <w:szCs w:val="20"/>
              </w:rPr>
              <w:t>Date</w:t>
            </w:r>
          </w:p>
        </w:tc>
        <w:tc>
          <w:tcPr>
            <w:tcW w:w="4560" w:type="dxa"/>
            <w:shd w:val="clear" w:color="auto" w:fill="0C0C0C"/>
          </w:tcPr>
          <w:p w14:paraId="75897B45" w14:textId="77777777" w:rsidR="00143F29" w:rsidRDefault="00000000">
            <w:pPr>
              <w:spacing w:before="60" w:after="60"/>
            </w:pPr>
            <w:r>
              <w:rPr>
                <w:b/>
                <w:bCs/>
                <w:color w:val="D4AF37"/>
                <w:sz w:val="20"/>
                <w:szCs w:val="20"/>
              </w:rPr>
              <w:t>Description</w:t>
            </w:r>
          </w:p>
        </w:tc>
      </w:tr>
      <w:tr w:rsidR="00143F29" w14:paraId="3EFE0696" w14:textId="77777777">
        <w:tblPrEx>
          <w:tblCellMar>
            <w:top w:w="0" w:type="dxa"/>
            <w:bottom w:w="0" w:type="dxa"/>
          </w:tblCellMar>
        </w:tblPrEx>
        <w:tc>
          <w:tcPr>
            <w:tcW w:w="2400" w:type="dxa"/>
            <w:shd w:val="clear" w:color="auto" w:fill="FFFFFF"/>
          </w:tcPr>
          <w:p w14:paraId="77FA0E46" w14:textId="77777777" w:rsidR="00143F29" w:rsidRDefault="00000000">
            <w:pPr>
              <w:spacing w:before="60" w:after="60"/>
            </w:pPr>
            <w:r>
              <w:rPr>
                <w:color w:val="333333"/>
                <w:sz w:val="20"/>
                <w:szCs w:val="20"/>
              </w:rPr>
              <w:t>1.0</w:t>
            </w:r>
          </w:p>
        </w:tc>
        <w:tc>
          <w:tcPr>
            <w:tcW w:w="2400" w:type="dxa"/>
            <w:shd w:val="clear" w:color="auto" w:fill="FFFFFF"/>
          </w:tcPr>
          <w:p w14:paraId="4F0296B4" w14:textId="77777777" w:rsidR="00143F29" w:rsidRDefault="00000000">
            <w:pPr>
              <w:spacing w:before="60" w:after="60"/>
            </w:pPr>
            <w:r>
              <w:rPr>
                <w:color w:val="333333"/>
                <w:sz w:val="20"/>
                <w:szCs w:val="20"/>
              </w:rPr>
              <w:t>[Effective Date]</w:t>
            </w:r>
          </w:p>
        </w:tc>
        <w:tc>
          <w:tcPr>
            <w:tcW w:w="4560" w:type="dxa"/>
            <w:shd w:val="clear" w:color="auto" w:fill="FFFFFF"/>
          </w:tcPr>
          <w:p w14:paraId="315C5A39" w14:textId="77777777" w:rsidR="00143F29" w:rsidRDefault="00000000">
            <w:pPr>
              <w:spacing w:before="60" w:after="60"/>
            </w:pPr>
            <w:r>
              <w:rPr>
                <w:color w:val="333333"/>
                <w:sz w:val="20"/>
                <w:szCs w:val="20"/>
              </w:rPr>
              <w:t>Initial policy document</w:t>
            </w:r>
          </w:p>
        </w:tc>
      </w:tr>
      <w:tr w:rsidR="00143F29" w14:paraId="7C83D965" w14:textId="77777777">
        <w:tblPrEx>
          <w:tblCellMar>
            <w:top w:w="0" w:type="dxa"/>
            <w:bottom w:w="0" w:type="dxa"/>
          </w:tblCellMar>
        </w:tblPrEx>
        <w:tc>
          <w:tcPr>
            <w:tcW w:w="2400" w:type="dxa"/>
            <w:shd w:val="clear" w:color="auto" w:fill="F5F5F5"/>
          </w:tcPr>
          <w:p w14:paraId="324F8614" w14:textId="77777777" w:rsidR="00143F29" w:rsidRDefault="00143F29">
            <w:pPr>
              <w:spacing w:before="60" w:after="60"/>
            </w:pPr>
          </w:p>
        </w:tc>
        <w:tc>
          <w:tcPr>
            <w:tcW w:w="2400" w:type="dxa"/>
            <w:shd w:val="clear" w:color="auto" w:fill="F5F5F5"/>
          </w:tcPr>
          <w:p w14:paraId="2FD78216" w14:textId="77777777" w:rsidR="00143F29" w:rsidRDefault="00143F29">
            <w:pPr>
              <w:spacing w:before="60" w:after="60"/>
            </w:pPr>
          </w:p>
        </w:tc>
        <w:tc>
          <w:tcPr>
            <w:tcW w:w="4560" w:type="dxa"/>
            <w:shd w:val="clear" w:color="auto" w:fill="F5F5F5"/>
          </w:tcPr>
          <w:p w14:paraId="79A65124" w14:textId="77777777" w:rsidR="00143F29" w:rsidRDefault="00143F29">
            <w:pPr>
              <w:spacing w:before="60" w:after="60"/>
            </w:pPr>
          </w:p>
        </w:tc>
      </w:tr>
      <w:tr w:rsidR="00143F29" w14:paraId="691CE9D4" w14:textId="77777777">
        <w:tblPrEx>
          <w:tblCellMar>
            <w:top w:w="0" w:type="dxa"/>
            <w:bottom w:w="0" w:type="dxa"/>
          </w:tblCellMar>
        </w:tblPrEx>
        <w:tc>
          <w:tcPr>
            <w:tcW w:w="2400" w:type="dxa"/>
            <w:shd w:val="clear" w:color="auto" w:fill="FFFFFF"/>
          </w:tcPr>
          <w:p w14:paraId="6937F9B1" w14:textId="77777777" w:rsidR="00143F29" w:rsidRDefault="00143F29">
            <w:pPr>
              <w:spacing w:before="60" w:after="60"/>
            </w:pPr>
          </w:p>
        </w:tc>
        <w:tc>
          <w:tcPr>
            <w:tcW w:w="2400" w:type="dxa"/>
            <w:shd w:val="clear" w:color="auto" w:fill="FFFFFF"/>
          </w:tcPr>
          <w:p w14:paraId="2372DAD6" w14:textId="77777777" w:rsidR="00143F29" w:rsidRDefault="00143F29">
            <w:pPr>
              <w:spacing w:before="60" w:after="60"/>
            </w:pPr>
          </w:p>
        </w:tc>
        <w:tc>
          <w:tcPr>
            <w:tcW w:w="4560" w:type="dxa"/>
            <w:shd w:val="clear" w:color="auto" w:fill="FFFFFF"/>
          </w:tcPr>
          <w:p w14:paraId="08420DED" w14:textId="77777777" w:rsidR="00143F29" w:rsidRDefault="00143F29">
            <w:pPr>
              <w:spacing w:before="60" w:after="60"/>
            </w:pPr>
          </w:p>
        </w:tc>
      </w:tr>
      <w:tr w:rsidR="00143F29" w14:paraId="6514247F" w14:textId="77777777">
        <w:tblPrEx>
          <w:tblCellMar>
            <w:top w:w="0" w:type="dxa"/>
            <w:bottom w:w="0" w:type="dxa"/>
          </w:tblCellMar>
        </w:tblPrEx>
        <w:tc>
          <w:tcPr>
            <w:tcW w:w="2400" w:type="dxa"/>
            <w:shd w:val="clear" w:color="auto" w:fill="F5F5F5"/>
          </w:tcPr>
          <w:p w14:paraId="154354B7" w14:textId="77777777" w:rsidR="00143F29" w:rsidRDefault="00143F29">
            <w:pPr>
              <w:spacing w:before="60" w:after="60"/>
            </w:pPr>
          </w:p>
        </w:tc>
        <w:tc>
          <w:tcPr>
            <w:tcW w:w="2400" w:type="dxa"/>
            <w:shd w:val="clear" w:color="auto" w:fill="F5F5F5"/>
          </w:tcPr>
          <w:p w14:paraId="5315BD22" w14:textId="77777777" w:rsidR="00143F29" w:rsidRDefault="00143F29">
            <w:pPr>
              <w:spacing w:before="60" w:after="60"/>
            </w:pPr>
          </w:p>
        </w:tc>
        <w:tc>
          <w:tcPr>
            <w:tcW w:w="4560" w:type="dxa"/>
            <w:shd w:val="clear" w:color="auto" w:fill="F5F5F5"/>
          </w:tcPr>
          <w:p w14:paraId="0405943A" w14:textId="77777777" w:rsidR="00143F29" w:rsidRDefault="00143F29">
            <w:pPr>
              <w:spacing w:before="60" w:after="60"/>
            </w:pPr>
          </w:p>
        </w:tc>
      </w:tr>
    </w:tbl>
    <w:p w14:paraId="50C91B84" w14:textId="77777777" w:rsidR="00143F29" w:rsidRDefault="00000000">
      <w:pPr>
        <w:spacing w:after="150"/>
        <w:jc w:val="both"/>
      </w:pPr>
      <w:r>
        <w:rPr>
          <w:color w:val="333333"/>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3200"/>
        <w:gridCol w:w="6160"/>
      </w:tblGrid>
      <w:tr w:rsidR="00143F29" w14:paraId="53AC4F11" w14:textId="77777777">
        <w:tblPrEx>
          <w:tblCellMar>
            <w:top w:w="0" w:type="dxa"/>
            <w:bottom w:w="0" w:type="dxa"/>
          </w:tblCellMar>
        </w:tblPrEx>
        <w:tc>
          <w:tcPr>
            <w:tcW w:w="3200" w:type="dxa"/>
            <w:shd w:val="clear" w:color="auto" w:fill="0C0C0C"/>
          </w:tcPr>
          <w:p w14:paraId="4E3168B3" w14:textId="77777777" w:rsidR="00143F29" w:rsidRDefault="00000000">
            <w:pPr>
              <w:spacing w:before="60" w:after="60"/>
            </w:pPr>
            <w:r>
              <w:rPr>
                <w:b/>
                <w:bCs/>
                <w:color w:val="D4AF37"/>
                <w:sz w:val="20"/>
                <w:szCs w:val="20"/>
              </w:rPr>
              <w:t>Role</w:t>
            </w:r>
          </w:p>
        </w:tc>
        <w:tc>
          <w:tcPr>
            <w:tcW w:w="6160" w:type="dxa"/>
            <w:shd w:val="clear" w:color="auto" w:fill="0C0C0C"/>
          </w:tcPr>
          <w:p w14:paraId="588A7B62" w14:textId="77777777" w:rsidR="00143F29" w:rsidRDefault="00000000">
            <w:pPr>
              <w:spacing w:before="60" w:after="60"/>
            </w:pPr>
            <w:r>
              <w:rPr>
                <w:b/>
                <w:bCs/>
                <w:color w:val="D4AF37"/>
                <w:sz w:val="20"/>
                <w:szCs w:val="20"/>
              </w:rPr>
              <w:t>Name / Signature</w:t>
            </w:r>
          </w:p>
        </w:tc>
      </w:tr>
      <w:tr w:rsidR="00143F29" w14:paraId="39CC3B0B" w14:textId="77777777">
        <w:tblPrEx>
          <w:tblCellMar>
            <w:top w:w="0" w:type="dxa"/>
            <w:bottom w:w="0" w:type="dxa"/>
          </w:tblCellMar>
        </w:tblPrEx>
        <w:tc>
          <w:tcPr>
            <w:tcW w:w="3200" w:type="dxa"/>
            <w:shd w:val="clear" w:color="auto" w:fill="FFFFFF"/>
          </w:tcPr>
          <w:p w14:paraId="146231AB" w14:textId="77777777" w:rsidR="00143F29" w:rsidRDefault="00000000">
            <w:pPr>
              <w:spacing w:before="60" w:after="60"/>
            </w:pPr>
            <w:r>
              <w:rPr>
                <w:color w:val="333333"/>
                <w:sz w:val="20"/>
                <w:szCs w:val="20"/>
              </w:rPr>
              <w:t>Prepared By</w:t>
            </w:r>
          </w:p>
        </w:tc>
        <w:tc>
          <w:tcPr>
            <w:tcW w:w="6160" w:type="dxa"/>
            <w:shd w:val="clear" w:color="auto" w:fill="FFFFFF"/>
          </w:tcPr>
          <w:p w14:paraId="16183594" w14:textId="77777777" w:rsidR="00143F29" w:rsidRDefault="00000000">
            <w:pPr>
              <w:spacing w:before="60" w:after="60"/>
            </w:pPr>
            <w:r>
              <w:rPr>
                <w:color w:val="333333"/>
                <w:sz w:val="20"/>
                <w:szCs w:val="20"/>
              </w:rPr>
              <w:t>[Name], [Title]</w:t>
            </w:r>
          </w:p>
        </w:tc>
      </w:tr>
      <w:tr w:rsidR="00143F29" w14:paraId="56B009ED" w14:textId="77777777">
        <w:tblPrEx>
          <w:tblCellMar>
            <w:top w:w="0" w:type="dxa"/>
            <w:bottom w:w="0" w:type="dxa"/>
          </w:tblCellMar>
        </w:tblPrEx>
        <w:tc>
          <w:tcPr>
            <w:tcW w:w="3200" w:type="dxa"/>
            <w:shd w:val="clear" w:color="auto" w:fill="F5F5F5"/>
          </w:tcPr>
          <w:p w14:paraId="6B01EB63" w14:textId="77777777" w:rsidR="00143F29" w:rsidRDefault="00000000">
            <w:pPr>
              <w:spacing w:before="60" w:after="60"/>
            </w:pPr>
            <w:r>
              <w:rPr>
                <w:color w:val="333333"/>
                <w:sz w:val="20"/>
                <w:szCs w:val="20"/>
              </w:rPr>
              <w:t>Reviewed By</w:t>
            </w:r>
          </w:p>
        </w:tc>
        <w:tc>
          <w:tcPr>
            <w:tcW w:w="6160" w:type="dxa"/>
            <w:shd w:val="clear" w:color="auto" w:fill="F5F5F5"/>
          </w:tcPr>
          <w:p w14:paraId="43B01F5D" w14:textId="77777777" w:rsidR="00143F29" w:rsidRDefault="00000000">
            <w:pPr>
              <w:spacing w:before="60" w:after="60"/>
            </w:pPr>
            <w:r>
              <w:rPr>
                <w:color w:val="333333"/>
                <w:sz w:val="20"/>
                <w:szCs w:val="20"/>
              </w:rPr>
              <w:t>[Name], [Title]</w:t>
            </w:r>
          </w:p>
        </w:tc>
      </w:tr>
      <w:tr w:rsidR="00143F29" w14:paraId="029F336E" w14:textId="77777777">
        <w:tblPrEx>
          <w:tblCellMar>
            <w:top w:w="0" w:type="dxa"/>
            <w:bottom w:w="0" w:type="dxa"/>
          </w:tblCellMar>
        </w:tblPrEx>
        <w:tc>
          <w:tcPr>
            <w:tcW w:w="3200" w:type="dxa"/>
            <w:shd w:val="clear" w:color="auto" w:fill="FFFFFF"/>
          </w:tcPr>
          <w:p w14:paraId="3A79AC74" w14:textId="77777777" w:rsidR="00143F29" w:rsidRDefault="00000000">
            <w:pPr>
              <w:spacing w:before="60" w:after="60"/>
            </w:pPr>
            <w:r>
              <w:rPr>
                <w:color w:val="333333"/>
                <w:sz w:val="20"/>
                <w:szCs w:val="20"/>
              </w:rPr>
              <w:t>Approved By</w:t>
            </w:r>
          </w:p>
        </w:tc>
        <w:tc>
          <w:tcPr>
            <w:tcW w:w="6160" w:type="dxa"/>
            <w:shd w:val="clear" w:color="auto" w:fill="FFFFFF"/>
          </w:tcPr>
          <w:p w14:paraId="68D9B26F" w14:textId="77777777" w:rsidR="00143F29" w:rsidRDefault="00000000">
            <w:pPr>
              <w:spacing w:before="60" w:after="60"/>
            </w:pPr>
            <w:r>
              <w:rPr>
                <w:color w:val="333333"/>
                <w:sz w:val="20"/>
                <w:szCs w:val="20"/>
              </w:rPr>
              <w:t>[CFO Name], Chief Financial Officer</w:t>
            </w:r>
          </w:p>
        </w:tc>
      </w:tr>
    </w:tbl>
    <w:p w14:paraId="3084B40A" w14:textId="77777777" w:rsidR="00697B67" w:rsidRDefault="00697B67"/>
    <w:sectPr w:rsidR="00697B67">
      <w:headerReference w:type="default" r:id="rId7"/>
      <w:footerReference w:type="default" r:id="rId8"/>
      <w:pgSz w:w="12240" w:h="15840"/>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ED85FE" w14:textId="77777777" w:rsidR="00697B67" w:rsidRDefault="00697B67">
      <w:r>
        <w:separator/>
      </w:r>
    </w:p>
  </w:endnote>
  <w:endnote w:type="continuationSeparator" w:id="0">
    <w:p w14:paraId="2C2DA8EA" w14:textId="77777777" w:rsidR="00697B67" w:rsidRDefault="00697B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74B655" w14:textId="77777777" w:rsidR="00143F29" w:rsidRDefault="00000000">
    <w:pPr>
      <w:pBdr>
        <w:top w:val="single" w:sz="2" w:space="0" w:color="2A2A2A"/>
      </w:pBdr>
      <w:spacing w:before="100"/>
      <w:jc w:val="center"/>
    </w:pPr>
    <w:r>
      <w:rPr>
        <w:color w:val="9CA3AF"/>
        <w:sz w:val="16"/>
        <w:szCs w:val="16"/>
      </w:rPr>
      <w:t xml:space="preserve">Confidential — [Company </w:t>
    </w:r>
    <w:proofErr w:type="gramStart"/>
    <w:r>
      <w:rPr>
        <w:color w:val="9CA3AF"/>
        <w:sz w:val="16"/>
        <w:szCs w:val="16"/>
      </w:rPr>
      <w:t>Name]  |</w:t>
    </w:r>
    <w:proofErr w:type="gramEnd"/>
    <w:r>
      <w:rPr>
        <w:color w:val="9CA3AF"/>
        <w:sz w:val="16"/>
        <w:szCs w:val="16"/>
      </w:rPr>
      <w:t xml:space="preserve">  Page </w:t>
    </w:r>
    <w:r>
      <w:rPr>
        <w:color w:val="9CA3AF"/>
        <w:sz w:val="16"/>
        <w:szCs w:val="16"/>
      </w:rPr>
      <w:fldChar w:fldCharType="begin"/>
    </w:r>
    <w:r>
      <w:rPr>
        <w:color w:val="9CA3AF"/>
        <w:sz w:val="16"/>
        <w:szCs w:val="16"/>
      </w:rPr>
      <w:instrText>PAGE</w:instrText>
    </w:r>
    <w:r>
      <w:rPr>
        <w:color w:val="9CA3AF"/>
        <w:sz w:val="16"/>
        <w:szCs w:val="16"/>
      </w:rPr>
      <w:fldChar w:fldCharType="separate"/>
    </w:r>
    <w:r w:rsidR="002977AB">
      <w:rPr>
        <w:noProof/>
        <w:color w:val="9CA3AF"/>
        <w:sz w:val="16"/>
        <w:szCs w:val="16"/>
      </w:rPr>
      <w:t>1</w:t>
    </w:r>
    <w:r>
      <w:rPr>
        <w:color w:val="9CA3AF"/>
        <w:sz w:val="16"/>
        <w:szCs w:val="16"/>
      </w:rPr>
      <w:fldChar w:fldCharType="end"/>
    </w:r>
    <w:r>
      <w:rPr>
        <w:color w:val="9CA3AF"/>
        <w:sz w:val="16"/>
        <w:szCs w:val="16"/>
      </w:rPr>
      <w:t xml:space="preserve"> of </w:t>
    </w:r>
    <w:r>
      <w:rPr>
        <w:color w:val="9CA3AF"/>
        <w:sz w:val="16"/>
        <w:szCs w:val="16"/>
      </w:rPr>
      <w:fldChar w:fldCharType="begin"/>
    </w:r>
    <w:r>
      <w:rPr>
        <w:color w:val="9CA3AF"/>
        <w:sz w:val="16"/>
        <w:szCs w:val="16"/>
      </w:rPr>
      <w:instrText>NUMPAGES</w:instrText>
    </w:r>
    <w:r>
      <w:rPr>
        <w:color w:val="9CA3AF"/>
        <w:sz w:val="16"/>
        <w:szCs w:val="16"/>
      </w:rPr>
      <w:fldChar w:fldCharType="separate"/>
    </w:r>
    <w:r w:rsidR="002977AB">
      <w:rPr>
        <w:noProof/>
        <w:color w:val="9CA3AF"/>
        <w:sz w:val="16"/>
        <w:szCs w:val="16"/>
      </w:rPr>
      <w:t>1</w:t>
    </w:r>
    <w:r>
      <w:rPr>
        <w:color w:val="9CA3AF"/>
        <w:sz w:val="16"/>
        <w:szCs w:val="16"/>
      </w:rPr>
      <w:fldChar w:fldCharType="end"/>
    </w:r>
    <w:r>
      <w:rPr>
        <w:color w:val="D4AF37"/>
        <w:sz w:val="16"/>
        <w:szCs w:val="16"/>
      </w:rPr>
      <w:t xml:space="preserve">  |  EFuturesCFO.com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3FCE8" w14:textId="77777777" w:rsidR="00697B67" w:rsidRDefault="00697B67">
      <w:r>
        <w:separator/>
      </w:r>
    </w:p>
  </w:footnote>
  <w:footnote w:type="continuationSeparator" w:id="0">
    <w:p w14:paraId="5CD52B0A" w14:textId="77777777" w:rsidR="00697B67" w:rsidRDefault="00697B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FA2D0" w14:textId="77777777" w:rsidR="00143F29" w:rsidRDefault="00000000">
    <w:pPr>
      <w:jc w:val="right"/>
    </w:pPr>
    <w:r>
      <w:rPr>
        <w:color w:val="9CA3AF"/>
        <w:sz w:val="16"/>
        <w:szCs w:val="16"/>
      </w:rPr>
      <w:t xml:space="preserve">[Company </w:t>
    </w:r>
    <w:proofErr w:type="gramStart"/>
    <w:r>
      <w:rPr>
        <w:color w:val="9CA3AF"/>
        <w:sz w:val="16"/>
        <w:szCs w:val="16"/>
      </w:rPr>
      <w:t>Name]  |</w:t>
    </w:r>
    <w:proofErr w:type="gramEnd"/>
    <w:r>
      <w:rPr>
        <w:color w:val="9CA3AF"/>
        <w:sz w:val="16"/>
        <w:szCs w:val="16"/>
      </w:rPr>
      <w:t xml:space="preserve">  </w:t>
    </w:r>
    <w:r>
      <w:rPr>
        <w:i/>
        <w:iCs/>
        <w:color w:val="9CA3AF"/>
        <w:sz w:val="16"/>
        <w:szCs w:val="16"/>
      </w:rPr>
      <w:t>Conflict Minerals &amp; Supply Chain Due Diligence Policy</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F314BF"/>
    <w:multiLevelType w:val="hybridMultilevel"/>
    <w:tmpl w:val="B5D66E5E"/>
    <w:lvl w:ilvl="0" w:tplc="8A44D06C">
      <w:start w:val="1"/>
      <w:numFmt w:val="bullet"/>
      <w:lvlText w:val="●"/>
      <w:lvlJc w:val="left"/>
      <w:pPr>
        <w:ind w:left="720" w:hanging="360"/>
      </w:pPr>
    </w:lvl>
    <w:lvl w:ilvl="1" w:tplc="7410EB18">
      <w:start w:val="1"/>
      <w:numFmt w:val="bullet"/>
      <w:lvlText w:val="○"/>
      <w:lvlJc w:val="left"/>
      <w:pPr>
        <w:ind w:left="1440" w:hanging="360"/>
      </w:pPr>
    </w:lvl>
    <w:lvl w:ilvl="2" w:tplc="BF4C70DE">
      <w:start w:val="1"/>
      <w:numFmt w:val="bullet"/>
      <w:lvlText w:val="■"/>
      <w:lvlJc w:val="left"/>
      <w:pPr>
        <w:ind w:left="2160" w:hanging="360"/>
      </w:pPr>
    </w:lvl>
    <w:lvl w:ilvl="3" w:tplc="5A027DD0">
      <w:start w:val="1"/>
      <w:numFmt w:val="bullet"/>
      <w:lvlText w:val="●"/>
      <w:lvlJc w:val="left"/>
      <w:pPr>
        <w:ind w:left="2880" w:hanging="360"/>
      </w:pPr>
    </w:lvl>
    <w:lvl w:ilvl="4" w:tplc="F4E0EB34">
      <w:start w:val="1"/>
      <w:numFmt w:val="bullet"/>
      <w:lvlText w:val="○"/>
      <w:lvlJc w:val="left"/>
      <w:pPr>
        <w:ind w:left="3600" w:hanging="360"/>
      </w:pPr>
    </w:lvl>
    <w:lvl w:ilvl="5" w:tplc="B1720A50">
      <w:start w:val="1"/>
      <w:numFmt w:val="bullet"/>
      <w:lvlText w:val="■"/>
      <w:lvlJc w:val="left"/>
      <w:pPr>
        <w:ind w:left="4320" w:hanging="360"/>
      </w:pPr>
    </w:lvl>
    <w:lvl w:ilvl="6" w:tplc="EE2CA054">
      <w:start w:val="1"/>
      <w:numFmt w:val="bullet"/>
      <w:lvlText w:val="●"/>
      <w:lvlJc w:val="left"/>
      <w:pPr>
        <w:ind w:left="5040" w:hanging="360"/>
      </w:pPr>
    </w:lvl>
    <w:lvl w:ilvl="7" w:tplc="4CA6CF42">
      <w:start w:val="1"/>
      <w:numFmt w:val="bullet"/>
      <w:lvlText w:val="●"/>
      <w:lvlJc w:val="left"/>
      <w:pPr>
        <w:ind w:left="5760" w:hanging="360"/>
      </w:pPr>
    </w:lvl>
    <w:lvl w:ilvl="8" w:tplc="AF3887EC">
      <w:start w:val="1"/>
      <w:numFmt w:val="bullet"/>
      <w:lvlText w:val="●"/>
      <w:lvlJc w:val="left"/>
      <w:pPr>
        <w:ind w:left="6480" w:hanging="360"/>
      </w:pPr>
    </w:lvl>
  </w:abstractNum>
  <w:num w:numId="1" w16cid:durableId="99530644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3F29"/>
    <w:rsid w:val="00143F29"/>
    <w:rsid w:val="002977AB"/>
    <w:rsid w:val="00697B67"/>
    <w:rsid w:val="00C05A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10C1D4"/>
  <w15:docId w15:val="{D64016CC-1B01-484A-821C-043CEBDF6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rFonts w:ascii="Georgia" w:eastAsia="Georgia" w:hAnsi="Georgia" w:cs="Georgia"/>
      <w:b/>
      <w:bCs/>
      <w:color w:val="0C0C0C"/>
      <w:sz w:val="32"/>
      <w:szCs w:val="32"/>
    </w:rPr>
  </w:style>
  <w:style w:type="paragraph" w:styleId="Heading2">
    <w:name w:val="heading 2"/>
    <w:uiPriority w:val="9"/>
    <w:unhideWhenUsed/>
    <w:qFormat/>
    <w:pPr>
      <w:outlineLvl w:val="1"/>
    </w:pPr>
    <w:rPr>
      <w:rFonts w:ascii="Georgia" w:eastAsia="Georgia" w:hAnsi="Georgia" w:cs="Georgia"/>
      <w:b/>
      <w:bCs/>
      <w:color w:val="333333"/>
      <w:sz w:val="26"/>
      <w:szCs w:val="26"/>
    </w:rPr>
  </w:style>
  <w:style w:type="paragraph" w:styleId="Heading3">
    <w:name w:val="heading 3"/>
    <w:uiPriority w:val="9"/>
    <w:semiHidden/>
    <w:unhideWhenUsed/>
    <w:qFormat/>
    <w:pPr>
      <w:outlineLvl w:val="2"/>
    </w:pPr>
    <w:rPr>
      <w:rFonts w:ascii="Georgia" w:eastAsia="Georgia" w:hAnsi="Georgia" w:cs="Georgia"/>
      <w:b/>
      <w:bCs/>
      <w:color w:val="44444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TOC1">
    <w:name w:val="toc 1"/>
    <w:basedOn w:val="Normal"/>
    <w:next w:val="Normal"/>
    <w:autoRedefine/>
    <w:uiPriority w:val="39"/>
    <w:unhideWhenUsed/>
    <w:rsid w:val="002977AB"/>
    <w:pPr>
      <w:spacing w:after="100"/>
    </w:pPr>
  </w:style>
  <w:style w:type="paragraph" w:styleId="TOC2">
    <w:name w:val="toc 2"/>
    <w:basedOn w:val="Normal"/>
    <w:next w:val="Normal"/>
    <w:autoRedefine/>
    <w:uiPriority w:val="39"/>
    <w:unhideWhenUsed/>
    <w:rsid w:val="002977AB"/>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14</Pages>
  <Words>2260</Words>
  <Characters>12887</Characters>
  <Application>Microsoft Office Word</Application>
  <DocSecurity>0</DocSecurity>
  <Lines>107</Lines>
  <Paragraphs>30</Paragraphs>
  <ScaleCrop>false</ScaleCrop>
  <Company/>
  <LinksUpToDate>false</LinksUpToDate>
  <CharactersWithSpaces>15117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Hirushika Wijewardane</cp:lastModifiedBy>
  <cp:revision>2</cp:revision>
  <dcterms:created xsi:type="dcterms:W3CDTF">2026-07-13T17:40:00Z</dcterms:created>
  <dcterms:modified xsi:type="dcterms:W3CDTF">2026-07-20T06:09:00Z</dcterms:modified>
</cp:coreProperties>
</file>