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Procurement &amp; Purchasing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Procurement and Purchasing Policy establishes the standards and procedures for acquiring goods and services on behalf of [Company Name]. The policy ensures that all purchases are properly authorized, competitively sourced, and executed in compliance with the delegation of authority, budgetary controls, and applicable laws and regulations.</w:t>
      </w:r>
    </w:p>
    <w:p>
      <w:pPr>
        <w:spacing w:after="150" w:before="0"/>
        <w:jc w:val="both"/>
      </w:pPr>
      <w:r>
        <w:rPr>
          <w:rFonts w:ascii="Calibri" w:cs="Calibri" w:eastAsia="Calibri" w:hAnsi="Calibri"/>
          <w:color w:val="333333"/>
          <w:sz w:val="22"/>
          <w:szCs w:val="22"/>
        </w:rPr>
        <w:t xml:space="preserve">This policy applies to all purchases of goods, services, software, equipment, and contracted labor by any employee, department, or subsidiary of [Company Name], regardless of funding source, payment method, or dollar amount.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purchases are authorized, budgeted, and have a valid business purpose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Obtain the best value through competitive sourcing and strategic supplier management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procurement procedures that balance control with operational efficiency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ethical sourcing standards and prevent conflicts of interest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compliance with SOX controls over the procure-to-pay cycle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segregation of duties between requisition, approval, purchasing, receipt, and payment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Purchase Requisition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internal request to procure goods or services, initiated by the requesting department and routed for approval.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Purchase Order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legally binding document authorizing a vendor to supply goods or services at specified terms and prices.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Sole Source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procurement where only one vendor can provide the required goods or services.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Competitive Bid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Obtaining quotes from multiple vendors (typically 3+) to ensure competitive pricing.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Blanket PO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purchase order for recurring purchases from a specific vendor at pre-negotiated terms, valid for a defined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 Expenditure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purchase of assets with useful life exceeding one year and cost above the capitalization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Conflict of Interest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situation where a personal relationship or financial interest could influence procurement decisions.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RFP/RFQ</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Request for Proposal / Request for Quotation — formal solicitation of vendor proposals for significant purchases.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Purchase Authorization</w:t>
      </w:r>
    </w:p>
    <w:p>
      <w:pPr>
        <w:spacing w:after="150" w:before="0"/>
        <w:jc w:val="both"/>
      </w:pPr>
      <w:r>
        <w:rPr>
          <w:rFonts w:ascii="Calibri" w:cs="Calibri" w:eastAsia="Calibri" w:hAnsi="Calibri"/>
          <w:color w:val="333333"/>
          <w:sz w:val="22"/>
          <w:szCs w:val="22"/>
        </w:rPr>
        <w:t xml:space="preserve">All purchases must be authorized by an individual with appropriate spending authority per the Delegation of Authority matrix. No employee may commit [Company Name] to a purchase obligation without proper authority. Purchases exceeding an individual's authority require escalation to the next level.</w:t>
      </w:r>
    </w:p>
    <w:p>
      <w:pPr>
        <w:pStyle w:val="Heading2"/>
        <w:spacing w:after="150" w:before="300"/>
      </w:pPr>
      <w:r>
        <w:rPr>
          <w:rFonts w:ascii="Georgia" w:cs="Georgia" w:eastAsia="Georgia" w:hAnsi="Georgia"/>
          <w:b/>
          <w:bCs/>
          <w:color w:val="333333"/>
          <w:sz w:val="26"/>
          <w:szCs w:val="26"/>
        </w:rPr>
        <w:t xml:space="preserve">3.2 Competitive Sourcing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Purchase Amount</w:t>
            </w:r>
          </w:p>
        </w:tc>
        <w:tc>
          <w:tcPr>
            <w:tcW w:type="dxa" w:w="6160"/>
            <w:shd w:fill="0C0C0C" w:val="clear"/>
          </w:tcPr>
          <w:p>
            <w:pPr>
              <w:spacing w:after="60" w:before="60"/>
            </w:pPr>
            <w:r>
              <w:rPr>
                <w:rFonts w:ascii="Calibri" w:cs="Calibri" w:eastAsia="Calibri" w:hAnsi="Calibri"/>
                <w:b/>
                <w:bCs/>
                <w:color w:val="D4AF37"/>
                <w:sz w:val="20"/>
                <w:szCs w:val="20"/>
              </w:rPr>
              <w:t xml:space="preserve">Sourcing Requirement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&lt; $5,000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No competitive requirement (best judgment)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$5,000 – $25,000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Minimum 2 written quotes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$25,001 – $100,000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Minimum 3 written quotes or RFQ</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$100,001 – $500,000</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Formal RFP with evaluation criteria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&gt; $500,000</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Formal RFP with cross-functional evaluation committee</w:t>
            </w:r>
          </w:p>
        </w:tc>
      </w:tr>
    </w:tbl>
    <w:p>
      <w:pPr>
        <w:spacing w:after="150" w:before="0"/>
        <w:jc w:val="both"/>
      </w:pPr>
      <w:r>
        <w:rPr>
          <w:rFonts w:ascii="Calibri" w:cs="Calibri" w:eastAsia="Calibri" w:hAnsi="Calibri"/>
          <w:color w:val="333333"/>
          <w:sz w:val="22"/>
          <w:szCs w:val="22"/>
        </w:rPr>
        <w:t xml:space="preserve">Sole source procurement is permitted only when: the vendor holds exclusive IP rights, compatibility with existing systems requires the specific vendor, emergency circumstances prevent competitive sourcing, or the purchase value is below [$5,000]. All sole source purchases above [$10,000] require written justification approved by the Controller.</w:t>
      </w:r>
    </w:p>
    <w:p>
      <w:pPr>
        <w:pStyle w:val="Heading2"/>
        <w:spacing w:after="150" w:before="300"/>
      </w:pPr>
      <w:r>
        <w:rPr>
          <w:rFonts w:ascii="Georgia" w:cs="Georgia" w:eastAsia="Georgia" w:hAnsi="Georgia"/>
          <w:b/>
          <w:bCs/>
          <w:color w:val="333333"/>
          <w:sz w:val="26"/>
          <w:szCs w:val="26"/>
        </w:rPr>
        <w:t xml:space="preserve">3.3 Segregation of Duties</w:t>
      </w:r>
    </w:p>
    <w:p>
      <w:pPr>
        <w:spacing w:after="150" w:before="0"/>
        <w:jc w:val="both"/>
      </w:pPr>
      <w:r>
        <w:rPr>
          <w:rFonts w:ascii="Calibri" w:cs="Calibri" w:eastAsia="Calibri" w:hAnsi="Calibri"/>
          <w:color w:val="333333"/>
          <w:sz w:val="22"/>
          <w:szCs w:val="22"/>
        </w:rPr>
        <w:t xml:space="preserve">The following procurement duties shall be performed by different individuals: purchase requisition vs. purchase approval, vendor selection vs. PO approval, goods receipt vs. invoice approval, and invoice processing vs. payment authorization.</w:t>
      </w:r>
    </w:p>
    <w:p>
      <w:pPr>
        <w:pStyle w:val="Heading2"/>
        <w:spacing w:after="150" w:before="300"/>
      </w:pPr>
      <w:r>
        <w:rPr>
          <w:rFonts w:ascii="Georgia" w:cs="Georgia" w:eastAsia="Georgia" w:hAnsi="Georgia"/>
          <w:b/>
          <w:bCs/>
          <w:color w:val="333333"/>
          <w:sz w:val="26"/>
          <w:szCs w:val="26"/>
        </w:rPr>
        <w:t xml:space="preserve">3.4 Ethics and Conflicts of Interest</w:t>
      </w:r>
    </w:p>
    <w:p>
      <w:pPr>
        <w:spacing w:after="150" w:before="0"/>
        <w:jc w:val="both"/>
      </w:pPr>
      <w:r>
        <w:rPr>
          <w:rFonts w:ascii="Calibri" w:cs="Calibri" w:eastAsia="Calibri" w:hAnsi="Calibri"/>
          <w:color w:val="333333"/>
          <w:sz w:val="22"/>
          <w:szCs w:val="22"/>
        </w:rPr>
        <w:t xml:space="preserve">Employees involved in procurement shall disclose any personal relationship (family, financial interest, former employment) with a vendor being considered. Gifts from vendors exceeding [$100] in annual aggregate value shall be reported to the employee's manager and Procurement. No employee shall accept gifts, entertainment, or other inducements that could influence procurement decisions.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this policy. Approves purchases above designated thresholds. Reviews procurement spending trends.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Procurement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sourcing process. Negotiates vendor contracts. Maintains the approved vendor list. Conducts vendor due diligence.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Submit purchase requisitions. Approve purchases within authority. Ensure budget availability before requisitioning.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Accounts Payable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purchase orders. Performs three-way matching. Manages vendor master data. Processes payments.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capital expenditures. Reviews sole source justifications. Ensures proper capitalization and expense treatment.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contracts above threshold. Negotiates complex terms. Ensures regulatory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procurement controls. Reviews sole source usage. Audits vendor relationships for conflicts.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Purchase Requisition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Requestor identifies the need and verifies budget availability</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Requestor submits purchase requisition in [ERP system] specifying: item/service description, quantity, estimated cost, delivery date, budget code, and business justification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Requisition is routed to the appropriate approver per the DOA matrix</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Approver reviews for: business need, budget availability, and compliance with sourcing requirements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Approved requisition is converted to a purchase order by Procurement or AP</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PO is sent to the vendor as the formal authorization to supply</w:t>
      </w:r>
    </w:p>
    <w:p>
      <w:pPr>
        <w:pStyle w:val="Heading2"/>
        <w:spacing w:after="150" w:before="300"/>
      </w:pPr>
      <w:r>
        <w:rPr>
          <w:rFonts w:ascii="Georgia" w:cs="Georgia" w:eastAsia="Georgia" w:hAnsi="Georgia"/>
          <w:b/>
          <w:bCs/>
          <w:color w:val="333333"/>
          <w:sz w:val="26"/>
          <w:szCs w:val="26"/>
        </w:rPr>
        <w:t xml:space="preserve">5.2 Vendor Selection</w:t>
      </w:r>
    </w:p>
    <w:p>
      <w:pPr>
        <w:spacing w:after="150" w:before="0"/>
        <w:jc w:val="both"/>
      </w:pPr>
      <w:r>
        <w:rPr>
          <w:rFonts w:ascii="Calibri" w:cs="Calibri" w:eastAsia="Calibri" w:hAnsi="Calibri"/>
          <w:color w:val="333333"/>
          <w:sz w:val="22"/>
          <w:szCs w:val="22"/>
        </w:rPr>
        <w:t xml:space="preserve">For purchases requiring competitive sourcing, Procurement shall: define specifications clearly, identify qualified vendors, distribute the RFQ/RFP, evaluate responses against pre-defined criteria (price, quality, delivery, terms, reputation), document the evaluation and selection rationale, and obtain appropriate approval.</w:t>
      </w:r>
    </w:p>
    <w:p>
      <w:pPr>
        <w:pStyle w:val="Heading2"/>
        <w:spacing w:after="150" w:before="300"/>
      </w:pPr>
      <w:r>
        <w:rPr>
          <w:rFonts w:ascii="Georgia" w:cs="Georgia" w:eastAsia="Georgia" w:hAnsi="Georgia"/>
          <w:b/>
          <w:bCs/>
          <w:color w:val="333333"/>
          <w:sz w:val="26"/>
          <w:szCs w:val="26"/>
        </w:rPr>
        <w:t xml:space="preserve">5.3 Contract Management</w:t>
      </w:r>
    </w:p>
    <w:p>
      <w:pPr>
        <w:spacing w:after="150" w:before="0"/>
        <w:jc w:val="both"/>
      </w:pPr>
      <w:r>
        <w:rPr>
          <w:rFonts w:ascii="Calibri" w:cs="Calibri" w:eastAsia="Calibri" w:hAnsi="Calibri"/>
          <w:color w:val="333333"/>
          <w:sz w:val="22"/>
          <w:szCs w:val="22"/>
        </w:rPr>
        <w:t xml:space="preserve">Vendor contracts exceeding [$25,000] in annual value shall be reviewed by Legal. Contracts exceeding [$100,000] require CFO signature. All contracts shall include: scope of work, pricing and payment terms, service levels, confidentiality provisions, insurance requirements, termination rights, and limitation of liability. Contract expiration dates shall be tracked to ensure timely renewal or re-sourcing.</w:t>
      </w:r>
    </w:p>
    <w:p>
      <w:pPr>
        <w:pStyle w:val="Heading2"/>
        <w:spacing w:after="150" w:before="300"/>
      </w:pPr>
      <w:r>
        <w:rPr>
          <w:rFonts w:ascii="Georgia" w:cs="Georgia" w:eastAsia="Georgia" w:hAnsi="Georgia"/>
          <w:b/>
          <w:bCs/>
          <w:color w:val="333333"/>
          <w:sz w:val="26"/>
          <w:szCs w:val="26"/>
        </w:rPr>
        <w:t xml:space="preserve">5.4 Goods Receipt and Acceptance</w:t>
      </w:r>
    </w:p>
    <w:p>
      <w:pPr>
        <w:spacing w:after="150" w:before="0"/>
        <w:jc w:val="both"/>
      </w:pPr>
      <w:r>
        <w:rPr>
          <w:rFonts w:ascii="Calibri" w:cs="Calibri" w:eastAsia="Calibri" w:hAnsi="Calibri"/>
          <w:color w:val="333333"/>
          <w:sz w:val="22"/>
          <w:szCs w:val="22"/>
        </w:rPr>
        <w:t xml:space="preserve">The requesting department shall confirm receipt of goods or completion of services in the ERP system. Receipt confirmation triggers the three-way match process in AP. Partial receipts shall be documented. Damaged or non-conforming goods shall be reported to the vendor and Procurement within [48] hours.</w:t>
      </w:r>
    </w:p>
    <w:p>
      <w:pPr>
        <w:pStyle w:val="Heading2"/>
        <w:spacing w:after="150" w:before="300"/>
      </w:pPr>
      <w:r>
        <w:rPr>
          <w:rFonts w:ascii="Georgia" w:cs="Georgia" w:eastAsia="Georgia" w:hAnsi="Georgia"/>
          <w:b/>
          <w:bCs/>
          <w:color w:val="333333"/>
          <w:sz w:val="26"/>
          <w:szCs w:val="26"/>
        </w:rPr>
        <w:t xml:space="preserve">5.5 Capital Expenditure Process</w:t>
      </w:r>
    </w:p>
    <w:p>
      <w:pPr>
        <w:spacing w:after="150" w:before="0"/>
        <w:jc w:val="both"/>
      </w:pPr>
      <w:r>
        <w:rPr>
          <w:rFonts w:ascii="Calibri" w:cs="Calibri" w:eastAsia="Calibri" w:hAnsi="Calibri"/>
          <w:color w:val="333333"/>
          <w:sz w:val="22"/>
          <w:szCs w:val="22"/>
        </w:rPr>
        <w:t xml:space="preserve">Purchases meeting the capitalization threshold ([$X,000] and useful life &gt; 1 year) follow the capital expenditure process: a capital expenditure request form with ROI analysis, approval per capital authority matrix (typically higher thresholds than operating expenses), asset tagging upon receipt, and entry into the fixed asset register.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Purchase Amount</w:t>
            </w:r>
          </w:p>
        </w:tc>
        <w:tc>
          <w:tcPr>
            <w:tcW w:type="dxa" w:w="2400"/>
            <w:shd w:fill="0C0C0C" w:val="clear"/>
          </w:tcPr>
          <w:p>
            <w:pPr>
              <w:spacing w:after="60" w:before="60"/>
            </w:pPr>
            <w:r>
              <w:rPr>
                <w:rFonts w:ascii="Calibri" w:cs="Calibri" w:eastAsia="Calibri" w:hAnsi="Calibri"/>
                <w:b/>
                <w:bCs/>
                <w:color w:val="D4AF37"/>
                <w:sz w:val="20"/>
                <w:szCs w:val="20"/>
              </w:rPr>
              <w:t xml:space="preserve">Operating Expense</w:t>
            </w:r>
          </w:p>
        </w:tc>
        <w:tc>
          <w:tcPr>
            <w:tcW w:type="dxa" w:w="4560"/>
            <w:shd w:fill="0C0C0C" w:val="clear"/>
          </w:tcPr>
          <w:p>
            <w:pPr>
              <w:spacing w:after="60" w:before="60"/>
            </w:pPr>
            <w:r>
              <w:rPr>
                <w:rFonts w:ascii="Calibri" w:cs="Calibri" w:eastAsia="Calibri" w:hAnsi="Calibri"/>
                <w:b/>
                <w:bCs/>
                <w:color w:val="D4AF37"/>
                <w:sz w:val="20"/>
                <w:szCs w:val="20"/>
              </w:rPr>
              <w:t xml:space="preserve">Capital Expenditure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$5,000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Department Manager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Department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$5,000 – $25,000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Director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Director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$25,001 – $100,000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VP</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VP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$100,001 – $500,000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$500,000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 + CEO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 + Board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Emergency Purchases</w:t>
      </w:r>
    </w:p>
    <w:p>
      <w:pPr>
        <w:spacing w:after="150" w:before="0"/>
        <w:jc w:val="both"/>
      </w:pPr>
      <w:r>
        <w:rPr>
          <w:rFonts w:ascii="Calibri" w:cs="Calibri" w:eastAsia="Calibri" w:hAnsi="Calibri"/>
          <w:color w:val="333333"/>
          <w:sz w:val="22"/>
          <w:szCs w:val="22"/>
        </w:rPr>
        <w:t xml:space="preserve">Emergency purchases (equipment failure, safety hazard, regulatory deadline) may be made without completing the standard requisition process. Emergency purchases require: verbal approval from a manager with appropriate authority, followed by written documentation within [24] hours, including the nature of the emergency and why standard procedures could not be followed. Emergency purchases exceeding [$10,000] require CFO notification.</w:t>
      </w:r>
    </w:p>
    <w:p>
      <w:pPr>
        <w:pStyle w:val="Heading2"/>
        <w:spacing w:after="150" w:before="300"/>
      </w:pPr>
      <w:r>
        <w:rPr>
          <w:rFonts w:ascii="Georgia" w:cs="Georgia" w:eastAsia="Georgia" w:hAnsi="Georgia"/>
          <w:b/>
          <w:bCs/>
          <w:color w:val="333333"/>
          <w:sz w:val="26"/>
          <w:szCs w:val="26"/>
        </w:rPr>
        <w:t xml:space="preserve">7.2 Retroactive Purchase Orders</w:t>
      </w:r>
    </w:p>
    <w:p>
      <w:pPr>
        <w:spacing w:after="150" w:before="0"/>
        <w:jc w:val="both"/>
      </w:pPr>
      <w:r>
        <w:rPr>
          <w:rFonts w:ascii="Calibri" w:cs="Calibri" w:eastAsia="Calibri" w:hAnsi="Calibri"/>
          <w:color w:val="333333"/>
          <w:sz w:val="22"/>
          <w:szCs w:val="22"/>
        </w:rPr>
        <w:t xml:space="preserve">Retroactive POs (created after the goods/services have been received) are a policy violation indicating a control breakdown. All retroactive POs require Controller approval with documentation of the root cause. Procurement shall track retroactive PO frequency by department and report to the CFO quarterly. Departments with patterns of retroactive POs shall receive targeted training.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PO compliance rate tracking (purchases with PO vs. total purchases)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sole source report with justification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retroactive PO report by department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competitive sourcing compliance audit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conflict of interest disclosure review for procurement staff</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 compliance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90% of eligible purchases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Competitive sourcing compliance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95% above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Retroactive PO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of total POs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Average PO cycle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3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Sole source percentage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15% of spend above threshold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Vendor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Conflict of Interest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Anti-Corruption and Anti-Bribery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Purchase Requisition Fields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Requestor name and department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Item/service description and specifications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Quantity and unit of measure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Estimated total cost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Preferred vendor (if any)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code and available budget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Required delivery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Business justification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Competitive sourcing documentation (quotes or sole source justification)</w:t>
      </w:r>
    </w:p>
    <w:p>
      <w:pPr>
        <w:pStyle w:val="Heading2"/>
        <w:spacing w:after="150" w:before="300"/>
      </w:pPr>
      <w:r>
        <w:rPr>
          <w:rFonts w:ascii="Georgia" w:cs="Georgia" w:eastAsia="Georgia" w:hAnsi="Georgia"/>
          <w:b/>
          <w:bCs/>
          <w:color w:val="333333"/>
          <w:sz w:val="26"/>
          <w:szCs w:val="26"/>
        </w:rPr>
        <w:t xml:space="preserve">Appendix B — Vendor Evaluation Scorecard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Criterion</w:t>
            </w:r>
          </w:p>
        </w:tc>
        <w:tc>
          <w:tcPr>
            <w:tcW w:type="dxa" w:w="2400"/>
            <w:shd w:fill="0C0C0C" w:val="clear"/>
          </w:tcPr>
          <w:p>
            <w:pPr>
              <w:spacing w:after="60" w:before="60"/>
            </w:pPr>
            <w:r>
              <w:rPr>
                <w:rFonts w:ascii="Calibri" w:cs="Calibri" w:eastAsia="Calibri" w:hAnsi="Calibri"/>
                <w:b/>
                <w:bCs/>
                <w:color w:val="D4AF37"/>
                <w:sz w:val="20"/>
                <w:szCs w:val="20"/>
              </w:rPr>
              <w:t xml:space="preserve">Weight</w:t>
            </w:r>
          </w:p>
        </w:tc>
        <w:tc>
          <w:tcPr>
            <w:tcW w:type="dxa" w:w="4560"/>
            <w:shd w:fill="0C0C0C" w:val="clear"/>
          </w:tcPr>
          <w:p>
            <w:pPr>
              <w:spacing w:after="60" w:before="60"/>
            </w:pPr>
            <w:r>
              <w:rPr>
                <w:rFonts w:ascii="Calibri" w:cs="Calibri" w:eastAsia="Calibri" w:hAnsi="Calibri"/>
                <w:b/>
                <w:bCs/>
                <w:color w:val="D4AF37"/>
                <w:sz w:val="20"/>
                <w:szCs w:val="20"/>
              </w:rPr>
              <w:t xml:space="preserve">Score (1-5)</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Price competitiveness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30%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Quality / technical capability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25%</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Delivery / timeline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15%</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Payment terms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References / reputation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Diversity / sustainability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5%</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Financial stability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5%</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Strategic Sourcing</w:t>
      </w:r>
    </w:p>
    <w:p>
      <w:pPr>
        <w:pStyle w:val="Heading2"/>
        <w:spacing w:after="150" w:before="300"/>
      </w:pPr>
      <w:r>
        <w:rPr>
          <w:rFonts w:ascii="Georgia" w:cs="Georgia" w:eastAsia="Georgia" w:hAnsi="Georgia"/>
          <w:b/>
          <w:bCs/>
          <w:color w:val="333333"/>
          <w:sz w:val="26"/>
          <w:szCs w:val="26"/>
        </w:rPr>
        <w:t xml:space="preserve">11.1 Category Management</w:t>
      </w:r>
    </w:p>
    <w:p>
      <w:pPr>
        <w:spacing w:after="150" w:before="0"/>
        <w:jc w:val="both"/>
      </w:pPr>
      <w:r>
        <w:rPr>
          <w:rFonts w:ascii="Calibri" w:cs="Calibri" w:eastAsia="Calibri" w:hAnsi="Calibri"/>
          <w:color w:val="333333"/>
          <w:sz w:val="22"/>
          <w:szCs w:val="22"/>
        </w:rPr>
        <w:t xml:space="preserve">[Company Name] shall implement a category management approach for strategic spend categories. A spend category is considered strategic when: annual spend exceeds [threshold], the category is critical to business operations, significant savings or risk reduction opportunities exist, or the market dynamics require active management. Strategic categories shall have a documented sourcing strategy including: market analysis, supplier landscape, negotiation strategy, and total cost of ownership targets.</w:t>
      </w:r>
    </w:p>
    <w:p>
      <w:pPr>
        <w:pStyle w:val="Heading2"/>
        <w:spacing w:after="150" w:before="300"/>
      </w:pPr>
      <w:r>
        <w:rPr>
          <w:rFonts w:ascii="Georgia" w:cs="Georgia" w:eastAsia="Georgia" w:hAnsi="Georgia"/>
          <w:b/>
          <w:bCs/>
          <w:color w:val="333333"/>
          <w:sz w:val="26"/>
          <w:szCs w:val="26"/>
        </w:rPr>
        <w:t xml:space="preserve">11.2 Supplier Consolidation</w:t>
      </w:r>
    </w:p>
    <w:p>
      <w:pPr>
        <w:spacing w:after="150" w:before="0"/>
        <w:jc w:val="both"/>
      </w:pPr>
      <w:r>
        <w:rPr>
          <w:rFonts w:ascii="Calibri" w:cs="Calibri" w:eastAsia="Calibri" w:hAnsi="Calibri"/>
          <w:color w:val="333333"/>
          <w:sz w:val="22"/>
          <w:szCs w:val="22"/>
        </w:rPr>
        <w:t xml:space="preserve">Procurement shall periodically analyze the supplier base for consolidation opportunities. Reducing the number of suppliers in a category can yield: volume leverage for better pricing, reduced administrative costs, improved quality consistency, and stronger supplier relationships. However, concentration risk must be balanced — no single supplier should represent more than [60%] of spend in a critical category without a documented risk mitigation plan and backup supplier.</w:t>
      </w:r>
    </w:p>
    <w:p>
      <w:pPr>
        <w:pStyle w:val="Heading2"/>
        <w:spacing w:after="150" w:before="300"/>
      </w:pPr>
      <w:r>
        <w:rPr>
          <w:rFonts w:ascii="Georgia" w:cs="Georgia" w:eastAsia="Georgia" w:hAnsi="Georgia"/>
          <w:b/>
          <w:bCs/>
          <w:color w:val="333333"/>
          <w:sz w:val="26"/>
          <w:szCs w:val="26"/>
        </w:rPr>
        <w:t xml:space="preserve">11.3 Total Cost of Ownership</w:t>
      </w:r>
    </w:p>
    <w:p>
      <w:pPr>
        <w:spacing w:after="150" w:before="0"/>
        <w:jc w:val="both"/>
      </w:pPr>
      <w:r>
        <w:rPr>
          <w:rFonts w:ascii="Calibri" w:cs="Calibri" w:eastAsia="Calibri" w:hAnsi="Calibri"/>
          <w:color w:val="333333"/>
          <w:sz w:val="22"/>
          <w:szCs w:val="22"/>
        </w:rPr>
        <w:t xml:space="preserve">Procurement decisions shall consider total cost of ownership (TCO), not just unit price. TCO includes: purchase price, shipping and logistics, customs duties and tariffs (for international procurement), quality inspection and testing, inventory carrying costs, warranty and maintenance, training and implementation, and disposal or decommissioning costs. TCO analysis is required for all sourcing decisions exceeding [threshold].</w:t>
      </w:r>
    </w:p>
    <w:p>
      <w:pPr>
        <w:pStyle w:val="Heading2"/>
        <w:spacing w:after="150" w:before="300"/>
      </w:pPr>
      <w:r>
        <w:rPr>
          <w:rFonts w:ascii="Georgia" w:cs="Georgia" w:eastAsia="Georgia" w:hAnsi="Georgia"/>
          <w:b/>
          <w:bCs/>
          <w:color w:val="333333"/>
          <w:sz w:val="26"/>
          <w:szCs w:val="26"/>
        </w:rPr>
        <w:t xml:space="preserve">11.4 Sustainable Procurement</w:t>
      </w:r>
    </w:p>
    <w:p>
      <w:pPr>
        <w:spacing w:after="150" w:before="0"/>
        <w:jc w:val="both"/>
      </w:pPr>
      <w:r>
        <w:rPr>
          <w:rFonts w:ascii="Calibri" w:cs="Calibri" w:eastAsia="Calibri" w:hAnsi="Calibri"/>
          <w:color w:val="333333"/>
          <w:sz w:val="22"/>
          <w:szCs w:val="22"/>
        </w:rPr>
        <w:t xml:space="preserve">[Company Name] is committed to sustainable procurement practices including: preference for suppliers with documented environmental policies and certifications, consideration of environmental impact in sourcing decisions (carbon footprint, waste, water usage), compliance with applicable environmental regulations in the supply chain, and support for diverse suppliers (minority-owned, women-owned, veteran-owned, small business). Sustainable procurement goals shall be tracked and reported annually per the ESG &amp; Sustainability Reporting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Contract Management</w:t>
      </w:r>
    </w:p>
    <w:p>
      <w:pPr>
        <w:pStyle w:val="Heading2"/>
        <w:spacing w:after="150" w:before="300"/>
      </w:pPr>
      <w:r>
        <w:rPr>
          <w:rFonts w:ascii="Georgia" w:cs="Georgia" w:eastAsia="Georgia" w:hAnsi="Georgia"/>
          <w:b/>
          <w:bCs/>
          <w:color w:val="333333"/>
          <w:sz w:val="26"/>
          <w:szCs w:val="26"/>
        </w:rPr>
        <w:t xml:space="preserve">12.1 Contract Standards</w:t>
      </w:r>
    </w:p>
    <w:p>
      <w:pPr>
        <w:spacing w:after="150" w:before="0"/>
        <w:jc w:val="both"/>
      </w:pPr>
      <w:r>
        <w:rPr>
          <w:rFonts w:ascii="Calibri" w:cs="Calibri" w:eastAsia="Calibri" w:hAnsi="Calibri"/>
          <w:color w:val="333333"/>
          <w:sz w:val="22"/>
          <w:szCs w:val="22"/>
        </w:rPr>
        <w:t xml:space="preserve">All procurement contracts exceeding [threshold] shall include the following standard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Scope of work or specification with acceptance criteria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Pricing, payment terms, and invoicing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Delivery schedule or service level agreements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Warranty and indemnification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Intellectual property ownership (for services producing IP)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Confidentiality and data protection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requirements (type and minimum coverage)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Termination rights (for cause and for convenience)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Force majeure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Dispute resolution mechanism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Compliance with laws (anti-bribery, trade sanctions, labor)</w:t>
      </w:r>
    </w:p>
    <w:p>
      <w:pPr>
        <w:pStyle w:val="Heading2"/>
        <w:spacing w:after="150" w:before="300"/>
      </w:pPr>
      <w:r>
        <w:rPr>
          <w:rFonts w:ascii="Georgia" w:cs="Georgia" w:eastAsia="Georgia" w:hAnsi="Georgia"/>
          <w:b/>
          <w:bCs/>
          <w:color w:val="333333"/>
          <w:sz w:val="26"/>
          <w:szCs w:val="26"/>
        </w:rPr>
        <w:t xml:space="preserve">12.2 Contract Renewal Management</w:t>
      </w:r>
    </w:p>
    <w:p>
      <w:pPr>
        <w:spacing w:after="150" w:before="0"/>
        <w:jc w:val="both"/>
      </w:pPr>
      <w:r>
        <w:rPr>
          <w:rFonts w:ascii="Calibri" w:cs="Calibri" w:eastAsia="Calibri" w:hAnsi="Calibri"/>
          <w:color w:val="333333"/>
          <w:sz w:val="22"/>
          <w:szCs w:val="22"/>
        </w:rPr>
        <w:t xml:space="preserve">Procurement shall maintain a contract renewal calendar with alerts [90] days before renewal or auto-renewal notice deadlines. Before each renewal, Procurement shall evaluate: current supplier performance, market pricing benchmarks, alternative supplier options, and contract term improvements. Auto-renewal without Procurement review is discouraged. All contracts with auto-renewal clauses shall be flagged in the contract management system.</w:t>
      </w:r>
    </w:p>
    <w:p>
      <w:pPr>
        <w:pStyle w:val="Heading2"/>
        <w:spacing w:after="150" w:before="300"/>
      </w:pPr>
      <w:r>
        <w:rPr>
          <w:rFonts w:ascii="Georgia" w:cs="Georgia" w:eastAsia="Georgia" w:hAnsi="Georgia"/>
          <w:b/>
          <w:bCs/>
          <w:color w:val="333333"/>
          <w:sz w:val="26"/>
          <w:szCs w:val="26"/>
        </w:rPr>
        <w:t xml:space="preserve">12.3 Contract Performance Monitoring</w:t>
      </w:r>
    </w:p>
    <w:p>
      <w:pPr>
        <w:spacing w:after="150" w:before="0"/>
        <w:jc w:val="both"/>
      </w:pPr>
      <w:r>
        <w:rPr>
          <w:rFonts w:ascii="Calibri" w:cs="Calibri" w:eastAsia="Calibri" w:hAnsi="Calibri"/>
          <w:color w:val="333333"/>
          <w:sz w:val="22"/>
          <w:szCs w:val="22"/>
        </w:rPr>
        <w:t xml:space="preserve">For strategic contracts, Procurement shall establish a supplier performance scorecard covering: quality metrics (defect rate, acceptance rate), delivery performance (on-time, in-full), pricing compliance (invoice accuracy, price escalation adherence), responsiveness (issue resolution time, communication quality), and innovation (continuous improvement suggestions, proactive problem solving). Scorecards shall be reviewed with suppliers at least annually, with quarterly reviews for top-tier strategic suppliers.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13. Procurement Technology and Analytics</w:t>
      </w:r>
    </w:p>
    <w:p>
      <w:pPr>
        <w:pStyle w:val="Heading2"/>
        <w:spacing w:after="150" w:before="300"/>
      </w:pPr>
      <w:r>
        <w:rPr>
          <w:rFonts w:ascii="Georgia" w:cs="Georgia" w:eastAsia="Georgia" w:hAnsi="Georgia"/>
          <w:b/>
          <w:bCs/>
          <w:color w:val="333333"/>
          <w:sz w:val="26"/>
          <w:szCs w:val="26"/>
        </w:rPr>
        <w:t xml:space="preserve">13.1 Procure-to-Pay System</w:t>
      </w:r>
    </w:p>
    <w:p>
      <w:pPr>
        <w:spacing w:after="150" w:before="0"/>
        <w:jc w:val="both"/>
      </w:pPr>
      <w:r>
        <w:rPr>
          <w:rFonts w:ascii="Calibri" w:cs="Calibri" w:eastAsia="Calibri" w:hAnsi="Calibri"/>
          <w:color w:val="333333"/>
          <w:sz w:val="22"/>
          <w:szCs w:val="22"/>
        </w:rPr>
        <w:t xml:space="preserve">[Company Name] shall maintain an integrated procure-to-pay (P2P) system supporting: electronic purchase requisition and approval workflow, catalog management for frequently purchased items, purchase order creation and transmission, goods receipt and three-way matching, invoice processing and payment, and spend analytics and reporting. The P2P system shall integrate with the ERP general ledger and AP modules.</w:t>
      </w:r>
    </w:p>
    <w:p>
      <w:pPr>
        <w:pStyle w:val="Heading2"/>
        <w:spacing w:after="150" w:before="300"/>
      </w:pPr>
      <w:r>
        <w:rPr>
          <w:rFonts w:ascii="Georgia" w:cs="Georgia" w:eastAsia="Georgia" w:hAnsi="Georgia"/>
          <w:b/>
          <w:bCs/>
          <w:color w:val="333333"/>
          <w:sz w:val="26"/>
          <w:szCs w:val="26"/>
        </w:rPr>
        <w:t xml:space="preserve">13.2 Spend Analytics</w:t>
      </w:r>
    </w:p>
    <w:p>
      <w:pPr>
        <w:spacing w:after="150" w:before="0"/>
        <w:jc w:val="both"/>
      </w:pPr>
      <w:r>
        <w:rPr>
          <w:rFonts w:ascii="Calibri" w:cs="Calibri" w:eastAsia="Calibri" w:hAnsi="Calibri"/>
          <w:color w:val="333333"/>
          <w:sz w:val="22"/>
          <w:szCs w:val="22"/>
        </w:rPr>
        <w:t xml:space="preserve">Procurement shall maintain a spend analytics capability providing visibility into: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Total spend by category, supplier, department, and business unit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Maverick spend (purchases outside of contracted agreements or preferred suppliers)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PO compliance rate (percentage of spend covered by purchase orders)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Savings tracking (negotiated savings, cost avoidance, and value engineering)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Supplier diversity spend percentage</w:t>
      </w:r>
    </w:p>
    <w:p>
      <w:pPr>
        <w:pStyle w:val="Heading2"/>
        <w:spacing w:after="150" w:before="300"/>
      </w:pPr>
      <w:r>
        <w:rPr>
          <w:rFonts w:ascii="Georgia" w:cs="Georgia" w:eastAsia="Georgia" w:hAnsi="Georgia"/>
          <w:b/>
          <w:bCs/>
          <w:color w:val="333333"/>
          <w:sz w:val="26"/>
          <w:szCs w:val="26"/>
        </w:rPr>
        <w:t xml:space="preserve">13.3 E-Sourcing and Reverse Auctions</w:t>
      </w:r>
    </w:p>
    <w:p>
      <w:pPr>
        <w:spacing w:after="150" w:before="0"/>
        <w:jc w:val="both"/>
      </w:pPr>
      <w:r>
        <w:rPr>
          <w:rFonts w:ascii="Calibri" w:cs="Calibri" w:eastAsia="Calibri" w:hAnsi="Calibri"/>
          <w:color w:val="333333"/>
          <w:sz w:val="22"/>
          <w:szCs w:val="22"/>
        </w:rPr>
        <w:t xml:space="preserve">For commoditized categories with multiple qualified suppliers, Procurement may use electronic sourcing tools (e-RFQ, e-RFP, reverse auctions) to optimize pricing. Reverse auctions are appropriate when: specifications are clearly defined and standardized, multiple qualified suppliers exist, price is the primary differentiator, and quality and service levels can be contractually guaranteed. Reverse auctions shall not be used for: professional services, sole-source items, or categories where switching costs make the lowest price meaningless.</w:t>
      </w:r>
    </w:p>
    <w:p>
      <w:pPr>
        <w:pStyle w:val="Heading2"/>
        <w:spacing w:after="150" w:before="300"/>
      </w:pPr>
      <w:r>
        <w:rPr>
          <w:rFonts w:ascii="Georgia" w:cs="Georgia" w:eastAsia="Georgia" w:hAnsi="Georgia"/>
          <w:b/>
          <w:bCs/>
          <w:color w:val="333333"/>
          <w:sz w:val="26"/>
          <w:szCs w:val="26"/>
        </w:rPr>
        <w:t xml:space="preserve">13.4 Procurement KPIs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savings (% of addressable spend)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 compliance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Maverick spend percentage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Average PO cycle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[3]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Contract coverage (% of spend under contract)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[80%]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Supplier diversity spend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[5%] of addressable spend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Procurement &amp; Purchasing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2026-07-13T07:06:53.948Z</dcterms:created>
  <dcterms:modified xsi:type="dcterms:W3CDTF">2026-07-13T07:06:53.948Z</dcterms:modified>
</cp:coreProperties>
</file>

<file path=docProps/custom.xml><?xml version="1.0" encoding="utf-8"?>
<Properties xmlns="http://schemas.openxmlformats.org/officeDocument/2006/custom-properties" xmlns:vt="http://schemas.openxmlformats.org/officeDocument/2006/docPropsVTypes"/>
</file>