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Expense Reimbursement &amp; Travel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Expense Reimbursement and Travel Policy establishes the standards and procedures for incurring, documenting, approving, and reimbursing business expenses by employees of [Company Name]. The policy ensures that business expenses are reasonable, properly authorized, adequately documented, and comply with IRS accountable plan requirements to maintain favorable tax treatment for both the company and employees.</w:t>
      </w:r>
    </w:p>
    <w:p>
      <w:pPr>
        <w:spacing w:after="150" w:before="0"/>
        <w:jc w:val="both"/>
      </w:pPr>
      <w:r>
        <w:rPr>
          <w:rFonts w:ascii="Calibri" w:cs="Calibri" w:eastAsia="Calibri" w:hAnsi="Calibri"/>
          <w:color w:val="333333"/>
          <w:sz w:val="22"/>
          <w:szCs w:val="22"/>
        </w:rPr>
        <w:t xml:space="preserve">This policy applies to all employees, officers, directors, and contractors authorized to incur expenses on behalf of [Company Name]. It covers all categories of business expenses including travel, meals, entertainment, professional development, office supplies, and any other expenditure for which reimbursement is sought.</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clear guidelines for allowable business expenses and spending limits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compliance with IRS accountable plan rules (adequate accounting, return of excess, business connection)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fraudulent or excessive expense claims through effective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timely reimbursement to employees (within [10] business days of approval)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accurate expense records for tax deductibility and financial reporting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Balance cost control with employee convenience and satisfaction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Accountable Plan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IRS-recognized arrangement under which reimbursements are excluded from employee income when three conditions are met: business connection, adequate accounting, and return of excess amounts.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Per Diem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fixed daily allowance for meals and incidental expenses in lieu of actual expense reimbursement.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Reasonable Expense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expense that a prudent person would incur under similar business circumstances.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Entertainment Expense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Expenses for amusement, recreation, or entertainment activities — subject to specific restrictions and documentation requirements.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Corporate Card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company-issued credit card for authorized business expenses, with the company as the primary liable party.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Mileage Reimbursement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Reimbursement for use of a personal vehicle for business purposes at the IRS standard mileage rate.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Travel Authorization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Pre-approval required for business travel above specified thresholds.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Receipt Threshold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dollar amount above which original receipts are required (IRS requires receipts for expenses $75+).</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General Expense Principles</w:t>
      </w:r>
    </w:p>
    <w:p>
      <w:pPr>
        <w:spacing w:after="150" w:before="0"/>
        <w:jc w:val="both"/>
      </w:pPr>
      <w:r>
        <w:rPr>
          <w:rFonts w:ascii="Calibri" w:cs="Calibri" w:eastAsia="Calibri" w:hAnsi="Calibri"/>
          <w:color w:val="333333"/>
          <w:sz w:val="22"/>
          <w:szCs w:val="22"/>
        </w:rPr>
        <w:t xml:space="preserve">All business expenses must be: reasonable and necessary for [Company Name] business purposes, properly authorized before being incurred (when above threshold), documented with original receipts and a clear business purpose, submitted within [30] days of being incurred, and compliant with this policy and IRS accountable plan requirements.</w:t>
      </w:r>
    </w:p>
    <w:p>
      <w:pPr>
        <w:pStyle w:val="Heading2"/>
        <w:spacing w:after="150" w:before="300"/>
      </w:pPr>
      <w:r>
        <w:rPr>
          <w:rFonts w:ascii="Georgia" w:cs="Georgia" w:eastAsia="Georgia" w:hAnsi="Georgia"/>
          <w:b/>
          <w:bCs/>
          <w:color w:val="333333"/>
          <w:sz w:val="26"/>
          <w:szCs w:val="26"/>
        </w:rPr>
        <w:t xml:space="preserve">3.2 Travel Booking</w:t>
      </w:r>
    </w:p>
    <w:p>
      <w:pPr>
        <w:spacing w:after="150" w:before="0"/>
        <w:jc w:val="both"/>
      </w:pPr>
      <w:r>
        <w:rPr>
          <w:rFonts w:ascii="Calibri" w:cs="Calibri" w:eastAsia="Calibri" w:hAnsi="Calibri"/>
          <w:color w:val="333333"/>
          <w:sz w:val="22"/>
          <w:szCs w:val="22"/>
        </w:rPr>
        <w:t xml:space="preserve">All air travel shall be booked in economy/coach class for domestic flights and flights under [6] hours. Business class is permitted for international flights exceeding [6] hours with VP-level pre-approval. First class travel is not reimbursable without CEO approval. Employees shall book travel at least [14] days in advance when possible to secure lower fares. The company preferred travel agency or booking tool shall be used for all travel reservations.</w:t>
      </w:r>
    </w:p>
    <w:p>
      <w:pPr>
        <w:pStyle w:val="Heading2"/>
        <w:spacing w:after="150" w:before="300"/>
      </w:pPr>
      <w:r>
        <w:rPr>
          <w:rFonts w:ascii="Georgia" w:cs="Georgia" w:eastAsia="Georgia" w:hAnsi="Georgia"/>
          <w:b/>
          <w:bCs/>
          <w:color w:val="333333"/>
          <w:sz w:val="26"/>
          <w:szCs w:val="26"/>
        </w:rPr>
        <w:t xml:space="preserve">3.3 Lodging</w:t>
      </w:r>
    </w:p>
    <w:p>
      <w:pPr>
        <w:spacing w:after="150" w:before="0"/>
        <w:jc w:val="both"/>
      </w:pPr>
      <w:r>
        <w:rPr>
          <w:rFonts w:ascii="Calibri" w:cs="Calibri" w:eastAsia="Calibri" w:hAnsi="Calibri"/>
          <w:color w:val="333333"/>
          <w:sz w:val="22"/>
          <w:szCs w:val="22"/>
        </w:rPr>
        <w:t xml:space="preserve">Hotel accommodations shall be at mid-range business hotels. The maximum nightly rate (excluding taxes) is [amount] for domestic travel and [amount] for international travel, subject to geographic adjustments for high-cost cities. Extended stay accommodations shall be used for trips exceeding [5] consecutive nights. Luxury or resort hotels require VP-level pre-approval.</w:t>
      </w:r>
    </w:p>
    <w:p>
      <w:pPr>
        <w:pStyle w:val="Heading2"/>
        <w:spacing w:after="150" w:before="300"/>
      </w:pPr>
      <w:r>
        <w:rPr>
          <w:rFonts w:ascii="Georgia" w:cs="Georgia" w:eastAsia="Georgia" w:hAnsi="Georgia"/>
          <w:b/>
          <w:bCs/>
          <w:color w:val="333333"/>
          <w:sz w:val="26"/>
          <w:szCs w:val="26"/>
        </w:rPr>
        <w:t xml:space="preserve">3.4 Meals and Entertainment</w:t>
      </w:r>
    </w:p>
    <w:p>
      <w:pPr>
        <w:spacing w:after="150" w:before="0"/>
        <w:jc w:val="both"/>
      </w:pPr>
      <w:r>
        <w:rPr>
          <w:rFonts w:ascii="Calibri" w:cs="Calibri" w:eastAsia="Calibri" w:hAnsi="Calibri"/>
          <w:color w:val="333333"/>
          <w:sz w:val="22"/>
          <w:szCs w:val="22"/>
        </w:rPr>
        <w:t xml:space="preserve">Meal expenses shall be reasonable and appropriate for the business context. Maximum per-person meal limits: breakfast [$X], lunch [$X], dinner [$X], or the applicable per diem rate. Entertainment expenses (client meals, events) require documentation of: attendees, business purpose, and topics discussed. Entertainment of government officials is subject to additional restrictions per the anti-corruption policy.</w:t>
      </w:r>
    </w:p>
    <w:p>
      <w:pPr>
        <w:pStyle w:val="Heading2"/>
        <w:spacing w:after="150" w:before="300"/>
      </w:pPr>
      <w:r>
        <w:rPr>
          <w:rFonts w:ascii="Georgia" w:cs="Georgia" w:eastAsia="Georgia" w:hAnsi="Georgia"/>
          <w:b/>
          <w:bCs/>
          <w:color w:val="333333"/>
          <w:sz w:val="26"/>
          <w:szCs w:val="26"/>
        </w:rPr>
        <w:t xml:space="preserve">3.5 Prohibited Expenses</w:t>
      </w:r>
    </w:p>
    <w:p>
      <w:pPr>
        <w:spacing w:after="150" w:before="0"/>
        <w:jc w:val="both"/>
      </w:pPr>
      <w:r>
        <w:rPr>
          <w:rFonts w:ascii="Calibri" w:cs="Calibri" w:eastAsia="Calibri" w:hAnsi="Calibri"/>
          <w:color w:val="333333"/>
          <w:sz w:val="22"/>
          <w:szCs w:val="22"/>
        </w:rPr>
        <w:t xml:space="preserve">[Company Name] will not reimburse the following: personal expenses of any kind, alcohol (except client entertainment with VP approval), traffic or parking violations, airline upgrades using personal miles without prior approval, spouse/partner travel (except when attendance serves a documented business purpose with CFO approval), personal grooming or clothing, political contributions, and any expense that would violate applicable law or company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this policy. Approves exceptions to spending limits. Reviews aggregate T&amp;E spending quarterly.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Oversees expense processing and compliance. Audits expense reports for policy violations. Ensures IRS accountable plan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Department Managers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 employee expense reports within their authority. Ensure expenses have valid business purpose. Monitor department T&amp;E budgets.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Employees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Incur expenses prudently. Submit timely, accurate expense reports with required documentation. Return excess advances.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 / Expense Processing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Processes approved expense reports for reimbursement. Reviews for policy compliance. Manages corporate card program administration.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Conducts periodic expense report audits. Tests for fraud, policy violations, and split submissions. Reports findings to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Travel Authorization</w:t>
      </w:r>
    </w:p>
    <w:p>
      <w:pPr>
        <w:spacing w:after="150" w:before="0"/>
        <w:jc w:val="both"/>
      </w:pPr>
      <w:r>
        <w:rPr>
          <w:rFonts w:ascii="Calibri" w:cs="Calibri" w:eastAsia="Calibri" w:hAnsi="Calibri"/>
          <w:color w:val="333333"/>
          <w:sz w:val="22"/>
          <w:szCs w:val="22"/>
        </w:rPr>
        <w:t xml:space="preserve">Travel requiring overnight stay or air travel shall be pre-approved by the employee's manager. International travel requires VP-level approval. The travel authorization shall specify: destination, dates, business purpose, estimated cost, and funding source (department budget or project code).</w:t>
      </w:r>
    </w:p>
    <w:p>
      <w:pPr>
        <w:pStyle w:val="Heading2"/>
        <w:spacing w:after="150" w:before="300"/>
      </w:pPr>
      <w:r>
        <w:rPr>
          <w:rFonts w:ascii="Georgia" w:cs="Georgia" w:eastAsia="Georgia" w:hAnsi="Georgia"/>
          <w:b/>
          <w:bCs/>
          <w:color w:val="333333"/>
          <w:sz w:val="26"/>
          <w:szCs w:val="26"/>
        </w:rPr>
        <w:t xml:space="preserve">5.2 Expense Report Submission</w:t>
      </w:r>
    </w:p>
    <w:p>
      <w:pPr>
        <w:spacing w:after="150" w:before="0"/>
        <w:jc w:val="both"/>
      </w:pPr>
      <w:r>
        <w:rPr>
          <w:rFonts w:ascii="Calibri" w:cs="Calibri" w:eastAsia="Calibri" w:hAnsi="Calibri"/>
          <w:color w:val="333333"/>
          <w:sz w:val="22"/>
          <w:szCs w:val="22"/>
        </w:rPr>
        <w:t xml:space="preserve">Employees shall submit expense reports within [30] days of incurring the expense or returning from travel. Reports submitted more than [60] days after the expense was incurred will be treated as taxable income per IRS rules. Each expense report shall include: itemized expenses by category and date, original receipts for all expenses over [$75] (or [$25] for meals), business purpose for each expense, attendee names for meal and entertainment expenses, and mileage log for personal vehicle use.</w:t>
      </w:r>
    </w:p>
    <w:p>
      <w:pPr>
        <w:pStyle w:val="Heading2"/>
        <w:spacing w:after="150" w:before="300"/>
      </w:pPr>
      <w:r>
        <w:rPr>
          <w:rFonts w:ascii="Georgia" w:cs="Georgia" w:eastAsia="Georgia" w:hAnsi="Georgia"/>
          <w:b/>
          <w:bCs/>
          <w:color w:val="333333"/>
          <w:sz w:val="26"/>
          <w:szCs w:val="26"/>
        </w:rPr>
        <w:t xml:space="preserve">5.3 Approval Workflow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Expense Amount</w:t>
            </w:r>
          </w:p>
        </w:tc>
        <w:tc>
          <w:tcPr>
            <w:tcW w:type="dxa" w:w="6160"/>
            <w:shd w:fill="0C0C0C" w:val="clear"/>
          </w:tcPr>
          <w:p>
            <w:pPr>
              <w:spacing w:after="60" w:before="60"/>
            </w:pPr>
            <w:r>
              <w:rPr>
                <w:rFonts w:ascii="Calibri" w:cs="Calibri" w:eastAsia="Calibri" w:hAnsi="Calibri"/>
                <w:b/>
                <w:bCs/>
                <w:color w:val="D4AF37"/>
                <w:sz w:val="20"/>
                <w:szCs w:val="20"/>
              </w:rPr>
              <w:t xml:space="preserve">Approver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&lt; $1,000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Direct manager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$1,000 – $5,000</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Department Director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$5,000 – $10,000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VP / SVP</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$10,000 – $25,000</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&gt; $25,000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 CEO</w:t>
            </w:r>
          </w:p>
        </w:tc>
      </w:tr>
    </w:tbl>
    <w:p>
      <w:pPr>
        <w:spacing w:after="150" w:before="0"/>
        <w:jc w:val="both"/>
      </w:pPr>
      <w:r>
        <w:rPr>
          <w:rFonts w:ascii="Calibri" w:cs="Calibri" w:eastAsia="Calibri" w:hAnsi="Calibri"/>
          <w:color w:val="333333"/>
          <w:sz w:val="22"/>
          <w:szCs w:val="22"/>
        </w:rPr>
        <w:t xml:space="preserve">Managers shall review each line item for: valid business purpose, policy compliance, reasonableness of amount, and proper documentation. Rubber-stamp approvals without review are a policy violation. Managers are personally accountable for the expenses they approve.</w:t>
      </w:r>
    </w:p>
    <w:p>
      <w:pPr>
        <w:pStyle w:val="Heading2"/>
        <w:spacing w:after="150" w:before="300"/>
      </w:pPr>
      <w:r>
        <w:rPr>
          <w:rFonts w:ascii="Georgia" w:cs="Georgia" w:eastAsia="Georgia" w:hAnsi="Georgia"/>
          <w:b/>
          <w:bCs/>
          <w:color w:val="333333"/>
          <w:sz w:val="26"/>
          <w:szCs w:val="26"/>
        </w:rPr>
        <w:t xml:space="preserve">5.4 Corporate Card Program</w:t>
      </w:r>
    </w:p>
    <w:p>
      <w:pPr>
        <w:pStyle w:val="Heading3"/>
        <w:spacing w:after="100" w:before="200"/>
      </w:pPr>
      <w:r>
        <w:rPr>
          <w:rFonts w:ascii="Georgia" w:cs="Georgia" w:eastAsia="Georgia" w:hAnsi="Georgia"/>
          <w:b/>
          <w:bCs/>
          <w:color w:val="444444"/>
          <w:sz w:val="22"/>
          <w:szCs w:val="22"/>
        </w:rPr>
        <w:t xml:space="preserve">5.4.1 Card Issuance</w:t>
      </w:r>
    </w:p>
    <w:p>
      <w:pPr>
        <w:spacing w:after="150" w:before="0"/>
        <w:jc w:val="both"/>
      </w:pPr>
      <w:r>
        <w:rPr>
          <w:rFonts w:ascii="Calibri" w:cs="Calibri" w:eastAsia="Calibri" w:hAnsi="Calibri"/>
          <w:color w:val="333333"/>
          <w:sz w:val="22"/>
          <w:szCs w:val="22"/>
        </w:rPr>
        <w:t xml:space="preserve">Corporate cards are issued to employees who regularly incur business expenses. Issuance requires manager and Controller approval. Cards shall be used only for authorized business expenses. Personal use of corporate cards is strictly prohibited and may result in disciplinary action.</w:t>
      </w:r>
    </w:p>
    <w:p>
      <w:pPr>
        <w:pStyle w:val="Heading3"/>
        <w:spacing w:after="100" w:before="200"/>
      </w:pPr>
      <w:r>
        <w:rPr>
          <w:rFonts w:ascii="Georgia" w:cs="Georgia" w:eastAsia="Georgia" w:hAnsi="Georgia"/>
          <w:b/>
          <w:bCs/>
          <w:color w:val="444444"/>
          <w:sz w:val="22"/>
          <w:szCs w:val="22"/>
        </w:rPr>
        <w:t xml:space="preserve">5.4.2 Card Reconciliation</w:t>
      </w:r>
    </w:p>
    <w:p>
      <w:pPr>
        <w:spacing w:after="150" w:before="0"/>
        <w:jc w:val="both"/>
      </w:pPr>
      <w:r>
        <w:rPr>
          <w:rFonts w:ascii="Calibri" w:cs="Calibri" w:eastAsia="Calibri" w:hAnsi="Calibri"/>
          <w:color w:val="333333"/>
          <w:sz w:val="22"/>
          <w:szCs w:val="22"/>
        </w:rPr>
        <w:t xml:space="preserve">Corporate card holders shall reconcile their card statements monthly and submit expense reports for all charges within [30] days. Unreconciled charges older than [60] days may be deducted from the employee's payroll per the corporate card agreement.</w:t>
      </w:r>
    </w:p>
    <w:p>
      <w:pPr>
        <w:pStyle w:val="Heading2"/>
        <w:spacing w:after="150" w:before="300"/>
      </w:pPr>
      <w:r>
        <w:rPr>
          <w:rFonts w:ascii="Georgia" w:cs="Georgia" w:eastAsia="Georgia" w:hAnsi="Georgia"/>
          <w:b/>
          <w:bCs/>
          <w:color w:val="333333"/>
          <w:sz w:val="26"/>
          <w:szCs w:val="26"/>
        </w:rPr>
        <w:t xml:space="preserve">5.5 Mileage Reimbursement</w:t>
      </w:r>
    </w:p>
    <w:p>
      <w:pPr>
        <w:spacing w:after="150" w:before="0"/>
        <w:jc w:val="both"/>
      </w:pPr>
      <w:r>
        <w:rPr>
          <w:rFonts w:ascii="Calibri" w:cs="Calibri" w:eastAsia="Calibri" w:hAnsi="Calibri"/>
          <w:color w:val="333333"/>
          <w:sz w:val="22"/>
          <w:szCs w:val="22"/>
        </w:rPr>
        <w:t xml:space="preserve">Personal vehicle use for business purposes is reimbursed at the current IRS standard mileage rate. Commuting mileage (home to regular office) is not reimbursable. Employees shall maintain a mileage log documenting: date, destination, business purpose, and miles driven. GPS-based mileage tracking apps are acceptable documentation.</w:t>
      </w:r>
    </w:p>
    <w:p>
      <w:pPr>
        <w:pStyle w:val="Heading2"/>
        <w:spacing w:after="150" w:before="300"/>
      </w:pPr>
      <w:r>
        <w:rPr>
          <w:rFonts w:ascii="Georgia" w:cs="Georgia" w:eastAsia="Georgia" w:hAnsi="Georgia"/>
          <w:b/>
          <w:bCs/>
          <w:color w:val="333333"/>
          <w:sz w:val="26"/>
          <w:szCs w:val="26"/>
        </w:rPr>
        <w:t xml:space="preserve">5.6 Cash Advances</w:t>
      </w:r>
    </w:p>
    <w:p>
      <w:pPr>
        <w:spacing w:after="150" w:before="0"/>
        <w:jc w:val="both"/>
      </w:pPr>
      <w:r>
        <w:rPr>
          <w:rFonts w:ascii="Calibri" w:cs="Calibri" w:eastAsia="Calibri" w:hAnsi="Calibri"/>
          <w:color w:val="333333"/>
          <w:sz w:val="22"/>
          <w:szCs w:val="22"/>
        </w:rPr>
        <w:t xml:space="preserve">Cash advances for anticipated travel expenses may be requested for trips where corporate card use is not feasible. Advances require manager approval and are limited to the estimated trip cost. Unused advance funds shall be returned within [5] business days of return. Advances not reconciled within [30] days will be deducted from payroll.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p>
      <w:pPr>
        <w:spacing w:after="150" w:before="0"/>
        <w:jc w:val="both"/>
      </w:pPr>
      <w:r>
        <w:rPr>
          <w:rFonts w:ascii="Calibri" w:cs="Calibri" w:eastAsia="Calibri" w:hAnsi="Calibri"/>
          <w:color w:val="333333"/>
          <w:sz w:val="22"/>
          <w:szCs w:val="22"/>
        </w:rPr>
        <w:t xml:space="preserve">See Section 5.3 for the expense approval matrix. Additional authorities: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Activity</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Business class air travel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VP + pre-approval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First class air travel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CEO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Hotel above nightly limit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VP + pre-approval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Client entertainment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$500</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VP</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Conference/training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$2,500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VP</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Cash advance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$1,000</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Exception to policy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Exceptions to spending limits require pre-approval from the CFO with documented justification. Common acceptable exceptions include: high-cost city lodging rates, team events, industry conferences with premium registration, and client-facing entertainment. Exceptions shall be logged and reviewed quarterly for pattern analysis.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pStyle w:val="Heading2"/>
        <w:spacing w:after="150" w:before="300"/>
      </w:pPr>
      <w:r>
        <w:rPr>
          <w:rFonts w:ascii="Georgia" w:cs="Georgia" w:eastAsia="Georgia" w:hAnsi="Georgia"/>
          <w:b/>
          <w:bCs/>
          <w:color w:val="333333"/>
          <w:sz w:val="26"/>
          <w:szCs w:val="26"/>
        </w:rPr>
        <w:t xml:space="preserve">8.1 Ongoing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T&amp;E spending by department vs. budget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corporate card reconciliation compliance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top-spender analysis (top 10 employees by T&amp;E)</w:t>
      </w:r>
    </w:p>
    <w:p>
      <w:pPr>
        <w:pStyle w:val="Heading2"/>
        <w:spacing w:after="150" w:before="300"/>
      </w:pPr>
      <w:r>
        <w:rPr>
          <w:rFonts w:ascii="Georgia" w:cs="Georgia" w:eastAsia="Georgia" w:hAnsi="Georgia"/>
          <w:b/>
          <w:bCs/>
          <w:color w:val="333333"/>
          <w:sz w:val="26"/>
          <w:szCs w:val="26"/>
        </w:rPr>
        <w:t xml:space="preserve">8.2 Periodic Audits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random audit of [10%] of expense reports for policy 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forensic audit of expense patterns: split submissions, round amounts, weekend charges, duplicate submissions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benchmark of T&amp;E spending against industry peers and company revenue</w:t>
      </w:r>
    </w:p>
    <w:p>
      <w:pPr>
        <w:pStyle w:val="Heading2"/>
        <w:spacing w:after="150" w:before="300"/>
      </w:pPr>
      <w:r>
        <w:rPr>
          <w:rFonts w:ascii="Georgia" w:cs="Georgia" w:eastAsia="Georgia" w:hAnsi="Georgia"/>
          <w:b/>
          <w:bCs/>
          <w:color w:val="333333"/>
          <w:sz w:val="26"/>
          <w:szCs w:val="26"/>
        </w:rPr>
        <w:t xml:space="preserve">8.3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Expense report submission timeliness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30 days for 95% of reports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Policy compliance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&gt; 95% of audited reports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Average reimbursement cycle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10 business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Corporate card reconciliation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within 30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T&amp;E as % of revenue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budget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Anti-Corruption and Anti-Bribery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Corporate Card Agreement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IRS Publication 463 (Travel, Gift, and Car Expenses)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IRS Accountable Plan Rules (IRC Section 62(c))</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Expense Category Quick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Category</w:t>
            </w:r>
          </w:p>
        </w:tc>
        <w:tc>
          <w:tcPr>
            <w:tcW w:type="dxa" w:w="2400"/>
            <w:shd w:fill="0C0C0C" w:val="clear"/>
          </w:tcPr>
          <w:p>
            <w:pPr>
              <w:spacing w:after="60" w:before="60"/>
            </w:pPr>
            <w:r>
              <w:rPr>
                <w:rFonts w:ascii="Calibri" w:cs="Calibri" w:eastAsia="Calibri" w:hAnsi="Calibri"/>
                <w:b/>
                <w:bCs/>
                <w:color w:val="D4AF37"/>
                <w:sz w:val="20"/>
                <w:szCs w:val="20"/>
              </w:rPr>
              <w:t xml:space="preserve">Limit</w:t>
            </w:r>
          </w:p>
        </w:tc>
        <w:tc>
          <w:tcPr>
            <w:tcW w:type="dxa" w:w="4560"/>
            <w:shd w:fill="0C0C0C" w:val="clear"/>
          </w:tcPr>
          <w:p>
            <w:pPr>
              <w:spacing w:after="60" w:before="60"/>
            </w:pPr>
            <w:r>
              <w:rPr>
                <w:rFonts w:ascii="Calibri" w:cs="Calibri" w:eastAsia="Calibri" w:hAnsi="Calibri"/>
                <w:b/>
                <w:bCs/>
                <w:color w:val="D4AF37"/>
                <w:sz w:val="20"/>
                <w:szCs w:val="20"/>
              </w:rPr>
              <w:t xml:space="preserve">Documentation Required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Domestic airfare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Economy class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E-ticket receipt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International airfare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Economy (&lt; 6hr), Business (&gt; 6hr)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E-ticket receipt + pre-approval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Hotel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[$X] per night max</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Itemized hotel folio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Meals (solo)</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diem or [$X] per meal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Receipt if &gt; $75</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Meals (client)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Reasonable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Receipt + attendees + purpose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Mileage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IRS rate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Mileage log</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Parking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Actual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Receipt if &gt; $25</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Ground transport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Actual (economy class)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Receipt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Tips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15-20%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Included in meal receipt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Office supplies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$100 without PO</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Receipt</w:t>
            </w:r>
          </w:p>
        </w:tc>
      </w:tr>
    </w:tbl>
    <w:p>
      <w:pPr>
        <w:pStyle w:val="Heading2"/>
        <w:spacing w:after="150" w:before="300"/>
      </w:pPr>
      <w:r>
        <w:rPr>
          <w:rFonts w:ascii="Georgia" w:cs="Georgia" w:eastAsia="Georgia" w:hAnsi="Georgia"/>
          <w:b/>
          <w:bCs/>
          <w:color w:val="333333"/>
          <w:sz w:val="26"/>
          <w:szCs w:val="26"/>
        </w:rPr>
        <w:t xml:space="preserve">Appendix B — IRS Accountable Plan Requirements</w:t>
      </w:r>
    </w:p>
    <w:p>
      <w:pPr>
        <w:spacing w:after="150" w:before="0"/>
        <w:jc w:val="both"/>
      </w:pPr>
      <w:r>
        <w:rPr>
          <w:rFonts w:ascii="Calibri" w:cs="Calibri" w:eastAsia="Calibri" w:hAnsi="Calibri"/>
          <w:color w:val="333333"/>
          <w:sz w:val="22"/>
          <w:szCs w:val="22"/>
        </w:rPr>
        <w:t xml:space="preserve">To maintain tax-free reimbursement status, [Company Name]'s expense program must meet three IRS requirements: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Business connection — expenses must have a clear business purpose documented at the time of submission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Adequate accounting — employees must substantiate expenses within a reasonable period (60 days) with receipts and business purpose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Return of excess — employees must return amounts in excess of substantiated expenses within a reasonable period (120 days)</w:t>
      </w:r>
    </w:p>
    <w:p>
      <w:pPr>
        <w:spacing w:after="150" w:before="0"/>
        <w:jc w:val="both"/>
      </w:pPr>
      <w:r>
        <w:rPr>
          <w:rFonts w:ascii="Calibri" w:cs="Calibri" w:eastAsia="Calibri" w:hAnsi="Calibri"/>
          <w:color w:val="333333"/>
          <w:sz w:val="22"/>
          <w:szCs w:val="22"/>
        </w:rPr>
        <w:t xml:space="preserve">Failure to meet these requirements converts reimbursements to taxable compensation, increasing tax burden for both the employee and [Company Name].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Corporate Credit Card Program</w:t>
      </w:r>
    </w:p>
    <w:p>
      <w:pPr>
        <w:pStyle w:val="Heading2"/>
        <w:spacing w:after="150" w:before="300"/>
      </w:pPr>
      <w:r>
        <w:rPr>
          <w:rFonts w:ascii="Georgia" w:cs="Georgia" w:eastAsia="Georgia" w:hAnsi="Georgia"/>
          <w:b/>
          <w:bCs/>
          <w:color w:val="333333"/>
          <w:sz w:val="26"/>
          <w:szCs w:val="26"/>
        </w:rPr>
        <w:t xml:space="preserve">11.1 Card Issuance and Limits</w:t>
      </w:r>
    </w:p>
    <w:p>
      <w:pPr>
        <w:spacing w:after="150" w:before="0"/>
        <w:jc w:val="both"/>
      </w:pPr>
      <w:r>
        <w:rPr>
          <w:rFonts w:ascii="Calibri" w:cs="Calibri" w:eastAsia="Calibri" w:hAnsi="Calibri"/>
          <w:color w:val="333333"/>
          <w:sz w:val="22"/>
          <w:szCs w:val="22"/>
        </w:rPr>
        <w:t xml:space="preserve">Corporate credit cards shall be issued to employees whose roles require frequent business expenditures, subject to manager approval and HR verification of employment status. Card spending limits shall be set based on the employee's role, travel frequency, and spending authority per the Delegation of Authority Policy. Standard limits: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 Level</w:t>
            </w:r>
          </w:p>
        </w:tc>
        <w:tc>
          <w:tcPr>
            <w:tcW w:type="dxa" w:w="6160"/>
            <w:shd w:fill="0C0C0C" w:val="clear"/>
          </w:tcPr>
          <w:p>
            <w:pPr>
              <w:spacing w:after="60" w:before="60"/>
            </w:pPr>
            <w:r>
              <w:rPr>
                <w:rFonts w:ascii="Calibri" w:cs="Calibri" w:eastAsia="Calibri" w:hAnsi="Calibri"/>
                <w:b/>
                <w:bCs/>
                <w:color w:val="D4AF37"/>
                <w:sz w:val="20"/>
                <w:szCs w:val="20"/>
              </w:rPr>
              <w:t xml:space="preserve">Monthly Limit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Individual Contributor / Analyst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$2,500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Manager / Senior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$5,000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Director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VP / SVP</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$15,000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C-Suite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$25,000</w:t>
            </w:r>
          </w:p>
        </w:tc>
      </w:tr>
    </w:tbl>
    <w:p>
      <w:pPr>
        <w:spacing w:after="150" w:before="0"/>
        <w:jc w:val="both"/>
      </w:pPr>
      <w:r>
        <w:rPr>
          <w:rFonts w:ascii="Calibri" w:cs="Calibri" w:eastAsia="Calibri" w:hAnsi="Calibri"/>
          <w:color w:val="333333"/>
          <w:sz w:val="22"/>
          <w:szCs w:val="22"/>
        </w:rPr>
        <w:t xml:space="preserve">Temporary limit increases require manager approval and shall auto-revert after [30] days.</w:t>
      </w:r>
    </w:p>
    <w:p>
      <w:pPr>
        <w:pStyle w:val="Heading2"/>
        <w:spacing w:after="150" w:before="300"/>
      </w:pPr>
      <w:r>
        <w:rPr>
          <w:rFonts w:ascii="Georgia" w:cs="Georgia" w:eastAsia="Georgia" w:hAnsi="Georgia"/>
          <w:b/>
          <w:bCs/>
          <w:color w:val="333333"/>
          <w:sz w:val="26"/>
          <w:szCs w:val="26"/>
        </w:rPr>
        <w:t xml:space="preserve">11.2 Prohibited Purchases</w:t>
      </w:r>
    </w:p>
    <w:p>
      <w:pPr>
        <w:spacing w:after="150" w:before="0"/>
        <w:jc w:val="both"/>
      </w:pPr>
      <w:r>
        <w:rPr>
          <w:rFonts w:ascii="Calibri" w:cs="Calibri" w:eastAsia="Calibri" w:hAnsi="Calibri"/>
          <w:color w:val="333333"/>
          <w:sz w:val="22"/>
          <w:szCs w:val="22"/>
        </w:rPr>
        <w:t xml:space="preserve">The following purchases are strictly prohibited on corporate credit cards: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Personal purchases of any kind, regardless of intent to reimburse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advances (ATM withdrawals) except in documented emergencies with pre-approval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Gift cards or prepaid cards (high fraud risk, no audit trail)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Political contributions or donations (must go through the Charitable Contributions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Alcoholic beverages as a standalone purchase (permissible only as part of a documented business meal)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Entertainment or events not meeting the business purpose documentation requirements</w:t>
      </w:r>
    </w:p>
    <w:p>
      <w:pPr>
        <w:pStyle w:val="Heading2"/>
        <w:spacing w:after="150" w:before="300"/>
      </w:pPr>
      <w:r>
        <w:rPr>
          <w:rFonts w:ascii="Georgia" w:cs="Georgia" w:eastAsia="Georgia" w:hAnsi="Georgia"/>
          <w:b/>
          <w:bCs/>
          <w:color w:val="333333"/>
          <w:sz w:val="26"/>
          <w:szCs w:val="26"/>
        </w:rPr>
        <w:t xml:space="preserve">11.3 Reconciliation and Compliance</w:t>
      </w:r>
    </w:p>
    <w:p>
      <w:pPr>
        <w:spacing w:after="150" w:before="0"/>
        <w:jc w:val="both"/>
      </w:pPr>
      <w:r>
        <w:rPr>
          <w:rFonts w:ascii="Calibri" w:cs="Calibri" w:eastAsia="Calibri" w:hAnsi="Calibri"/>
          <w:color w:val="333333"/>
          <w:sz w:val="22"/>
          <w:szCs w:val="22"/>
        </w:rPr>
        <w:t xml:space="preserve">Cardholders shall reconcile their corporate card statements monthly, attaching itemized receipts for all transactions and providing business purpose documentation. Unreconciled statements after [30] days from the statement date may result in temporary card suspension. Three or more policy violations within a 12-month period may result in permanent card revocation and disciplinary action.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International Travel</w:t>
      </w:r>
    </w:p>
    <w:p>
      <w:pPr>
        <w:pStyle w:val="Heading2"/>
        <w:spacing w:after="150" w:before="300"/>
      </w:pPr>
      <w:r>
        <w:rPr>
          <w:rFonts w:ascii="Georgia" w:cs="Georgia" w:eastAsia="Georgia" w:hAnsi="Georgia"/>
          <w:b/>
          <w:bCs/>
          <w:color w:val="333333"/>
          <w:sz w:val="26"/>
          <w:szCs w:val="26"/>
        </w:rPr>
        <w:t xml:space="preserve">12.1 International Per Diem Rates</w:t>
      </w:r>
    </w:p>
    <w:p>
      <w:pPr>
        <w:spacing w:after="150" w:before="0"/>
        <w:jc w:val="both"/>
      </w:pPr>
      <w:r>
        <w:rPr>
          <w:rFonts w:ascii="Calibri" w:cs="Calibri" w:eastAsia="Calibri" w:hAnsi="Calibri"/>
          <w:color w:val="333333"/>
          <w:sz w:val="22"/>
          <w:szCs w:val="22"/>
        </w:rPr>
        <w:t xml:space="preserve">International travel per diem rates shall follow the U.S. Department of State's published Foreign Per Diem Rates, which vary by country and city. Per diem rates cover lodging and meals/incidental expenses (M&amp;IE). Actual lodging expenses may be reimbursed up to [150%] of the published rate with Director-level approval when rates in the per diem location are insufficient.</w:t>
      </w:r>
    </w:p>
    <w:p>
      <w:pPr>
        <w:pStyle w:val="Heading2"/>
        <w:spacing w:after="150" w:before="300"/>
      </w:pPr>
      <w:r>
        <w:rPr>
          <w:rFonts w:ascii="Georgia" w:cs="Georgia" w:eastAsia="Georgia" w:hAnsi="Georgia"/>
          <w:b/>
          <w:bCs/>
          <w:color w:val="333333"/>
          <w:sz w:val="26"/>
          <w:szCs w:val="26"/>
        </w:rPr>
        <w:t xml:space="preserve">12.2 Visa and Documentation Costs</w:t>
      </w:r>
    </w:p>
    <w:p>
      <w:pPr>
        <w:spacing w:after="150" w:before="0"/>
        <w:jc w:val="both"/>
      </w:pPr>
      <w:r>
        <w:rPr>
          <w:rFonts w:ascii="Calibri" w:cs="Calibri" w:eastAsia="Calibri" w:hAnsi="Calibri"/>
          <w:color w:val="333333"/>
          <w:sz w:val="22"/>
          <w:szCs w:val="22"/>
        </w:rPr>
        <w:t xml:space="preserve">Visa fees, passport renewal fees (when travel is required), and travel document processing fees incurred for business travel are reimbursable. These expenses do not require pre-approval but must be submitted with the corresponding trip expense report.</w:t>
      </w:r>
    </w:p>
    <w:p>
      <w:pPr>
        <w:pStyle w:val="Heading2"/>
        <w:spacing w:after="150" w:before="300"/>
      </w:pPr>
      <w:r>
        <w:rPr>
          <w:rFonts w:ascii="Georgia" w:cs="Georgia" w:eastAsia="Georgia" w:hAnsi="Georgia"/>
          <w:b/>
          <w:bCs/>
          <w:color w:val="333333"/>
          <w:sz w:val="26"/>
          <w:szCs w:val="26"/>
        </w:rPr>
        <w:t xml:space="preserve">12.3 Travel Safety and Insurance</w:t>
      </w:r>
    </w:p>
    <w:p>
      <w:pPr>
        <w:spacing w:after="150" w:before="0"/>
        <w:jc w:val="both"/>
      </w:pPr>
      <w:r>
        <w:rPr>
          <w:rFonts w:ascii="Calibri" w:cs="Calibri" w:eastAsia="Calibri" w:hAnsi="Calibri"/>
          <w:color w:val="333333"/>
          <w:sz w:val="22"/>
          <w:szCs w:val="22"/>
        </w:rPr>
        <w:t xml:space="preserve">[Company Name] shall maintain corporate travel insurance covering: medical emergency evacuation, trip cancellation, lost or delayed baggage, and accidental death and dismemberment during business travel. Employees traveling to high-risk destinations (as defined by the Global Security team or travel insurance provider) must register their travel itinerary with [HR / Security / Travel Management Company] and review the country-specific safety briefing before departure.</w:t>
      </w:r>
    </w:p>
    <w:p>
      <w:pPr>
        <w:pStyle w:val="Heading2"/>
        <w:spacing w:after="150" w:before="300"/>
      </w:pPr>
      <w:r>
        <w:rPr>
          <w:rFonts w:ascii="Georgia" w:cs="Georgia" w:eastAsia="Georgia" w:hAnsi="Georgia"/>
          <w:b/>
          <w:bCs/>
          <w:color w:val="333333"/>
          <w:sz w:val="26"/>
          <w:szCs w:val="26"/>
        </w:rPr>
        <w:t xml:space="preserve">12.4 Extended Business Travel</w:t>
      </w:r>
    </w:p>
    <w:p>
      <w:pPr>
        <w:spacing w:after="150" w:before="0"/>
        <w:jc w:val="both"/>
      </w:pPr>
      <w:r>
        <w:rPr>
          <w:rFonts w:ascii="Calibri" w:cs="Calibri" w:eastAsia="Calibri" w:hAnsi="Calibri"/>
          <w:color w:val="333333"/>
          <w:sz w:val="22"/>
          <w:szCs w:val="22"/>
        </w:rPr>
        <w:t xml:space="preserve">Business trips exceeding [30] consecutive days may have tax implications for both the employee and [Company Name], including: establishment of a tax nexus in the destination state or country, changes to the employee's tax home, payroll withholding obligations in the destination jurisdiction, and potential permanent establishment risk for the company. Trips expected to exceed [30] days require pre-approval from both the employee's manager and Tax.</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13. Expense Analytics and Compliance Monitoring</w:t>
      </w:r>
    </w:p>
    <w:p>
      <w:pPr>
        <w:pStyle w:val="Heading2"/>
        <w:spacing w:after="150" w:before="300"/>
      </w:pPr>
      <w:r>
        <w:rPr>
          <w:rFonts w:ascii="Georgia" w:cs="Georgia" w:eastAsia="Georgia" w:hAnsi="Georgia"/>
          <w:b/>
          <w:bCs/>
          <w:color w:val="333333"/>
          <w:sz w:val="26"/>
          <w:szCs w:val="26"/>
        </w:rPr>
        <w:t xml:space="preserve">13.1 Expense Data Analytics</w:t>
      </w:r>
    </w:p>
    <w:p>
      <w:pPr>
        <w:spacing w:after="150" w:before="0"/>
        <w:jc w:val="both"/>
      </w:pPr>
      <w:r>
        <w:rPr>
          <w:rFonts w:ascii="Calibri" w:cs="Calibri" w:eastAsia="Calibri" w:hAnsi="Calibri"/>
          <w:color w:val="333333"/>
          <w:sz w:val="22"/>
          <w:szCs w:val="22"/>
        </w:rPr>
        <w:t xml:space="preserve">Finance shall perform monthly analytics on expense data to identify: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Employees with the highest expense volumes and amounts for reasonableness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Duplicate expense submissions (same amount, same date, same vendor across reports)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Split transactions designed to stay below receipt requirements or approval thresholds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Weekend and holiday expenses without documented business purpose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Expenses coded to incorrect categories (pattern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concentration indicating potential personal purchases coded as business</w:t>
      </w:r>
    </w:p>
    <w:p>
      <w:pPr>
        <w:pStyle w:val="Heading2"/>
        <w:spacing w:after="150" w:before="300"/>
      </w:pPr>
      <w:r>
        <w:rPr>
          <w:rFonts w:ascii="Georgia" w:cs="Georgia" w:eastAsia="Georgia" w:hAnsi="Georgia"/>
          <w:b/>
          <w:bCs/>
          <w:color w:val="333333"/>
          <w:sz w:val="26"/>
          <w:szCs w:val="26"/>
        </w:rPr>
        <w:t xml:space="preserve">13.2 Audit Program</w:t>
      </w:r>
    </w:p>
    <w:p>
      <w:pPr>
        <w:spacing w:after="150" w:before="0"/>
        <w:jc w:val="both"/>
      </w:pPr>
      <w:r>
        <w:rPr>
          <w:rFonts w:ascii="Calibri" w:cs="Calibri" w:eastAsia="Calibri" w:hAnsi="Calibri"/>
          <w:color w:val="333333"/>
          <w:sz w:val="22"/>
          <w:szCs w:val="22"/>
        </w:rPr>
        <w:t xml:space="preserve">[Company Name] shall maintain a risk-based expense audit program: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Pre-payment audit: [100%] of reports exceeding [threshold] reviewed before reimbursement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Sampling audit: [10%] random sample of all other reports reviewed post-payment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Targeted audit: focused review triggered by analytics findings or whistleblower reports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Executive audit: [100%] of C-suite expense reports reviewed by the Controller or CFO</w:t>
      </w:r>
    </w:p>
    <w:p>
      <w:pPr>
        <w:spacing w:after="150" w:before="0"/>
        <w:jc w:val="both"/>
      </w:pPr>
      <w:r>
        <w:rPr>
          <w:rFonts w:ascii="Calibri" w:cs="Calibri" w:eastAsia="Calibri" w:hAnsi="Calibri"/>
          <w:color w:val="333333"/>
          <w:sz w:val="22"/>
          <w:szCs w:val="22"/>
        </w:rPr>
        <w:t xml:space="preserve">Audit findings shall be documented, communicated to the employee and their manager, and tracked for recurrence. Substantiated policy violations are subject to the company's progressive discipline process.</w:t>
      </w:r>
    </w:p>
    <w:p>
      <w:pPr>
        <w:pStyle w:val="Heading2"/>
        <w:spacing w:after="150" w:before="300"/>
      </w:pPr>
      <w:r>
        <w:rPr>
          <w:rFonts w:ascii="Georgia" w:cs="Georgia" w:eastAsia="Georgia" w:hAnsi="Georgia"/>
          <w:b/>
          <w:bCs/>
          <w:color w:val="333333"/>
          <w:sz w:val="26"/>
          <w:szCs w:val="26"/>
        </w:rPr>
        <w:t xml:space="preserve">13.3 Expense KPIs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Average expense report processing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 business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Policy compliance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&gt; 95%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Receipt attachment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&gt; 98%</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Corporate card reconciliation timeliness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30 days from statement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T&amp;E spend as % of revenue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Benchmarked to industry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Average cost per expense report processed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Trending downward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Expense Reimbursement &amp; Travel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2026-07-13T07:06:53.827Z</dcterms:created>
  <dcterms:modified xsi:type="dcterms:W3CDTF">2026-07-13T07:06:53.827Z</dcterms:modified>
</cp:coreProperties>
</file>

<file path=docProps/custom.xml><?xml version="1.0" encoding="utf-8"?>
<Properties xmlns="http://schemas.openxmlformats.org/officeDocument/2006/custom-properties" xmlns:vt="http://schemas.openxmlformats.org/officeDocument/2006/docPropsVTypes"/>
</file>