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Bank Account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Bank Account Management Policy establishes the standards and controls for opening, maintaining, modifying, and closing bank accounts held by [Company Name] and its subsidiaries. The policy ensures that all bank accounts are authorized, documented, properly controlled, and reconciled to prevent fraud, maintain regulatory compliance, and support efficient cash management.</w:t>
      </w:r>
    </w:p>
    <w:p>
      <w:pPr>
        <w:spacing w:after="150" w:before="0"/>
        <w:jc w:val="both"/>
      </w:pPr>
      <w:r>
        <w:rPr>
          <w:rFonts w:ascii="Calibri" w:cs="Calibri" w:eastAsia="Calibri" w:hAnsi="Calibri"/>
          <w:color w:val="333333"/>
          <w:sz w:val="22"/>
          <w:szCs w:val="22"/>
        </w:rPr>
        <w:t xml:space="preserve">This policy applies to all bank accounts worldwide including: operating accounts, payroll accounts, tax payment accounts, escrow accounts, investment accounts, trust accounts, foreign currency accounts, merchant processing accounts, and any other account held at a financial institution on behalf of [Company Name] or any of its subsidiaries.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every bank account is properly authorized by designated officers before opening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complete and current register of all bank accounts company-wide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signatory authority and dual-control requirements for all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unauthorized account openings, including subsidiary or field office accounts opened without corporate knowledge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closure of accounts that are no longer needed to reduce fraud exposure and administrative burden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Bank Secrecy Act, KYC/AML requirements, and OFAC sanctions screening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Account Register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master list of all bank accounts maintained by Treasury, including account details, signatories, and purpose.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Authorized Signatory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individual approved by the Board or CFO to sign checks, authorize wire transfers, or otherwise commit funds from company bank accounts.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Signatory Resolution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board resolution or corporate authorization designating individuals with banking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Zero Balance Account (ZBA)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checking account that is automatically funded from a master account to cover presented items, maintaining a zero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Controlled Disbursement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banking service that provides early-morning notification of checks and ACH debits that will clear that day.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Lockbox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banking service that directs customer payments to a post office box managed by the bank for faster processing and deposit.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FBAR (FinCEN 114)</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Foreign Bank Account Report — required when the aggregate value of foreign financial accounts exceeds $10,000 at any time during the year.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BSA/AML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Bank Secrecy Act / Anti-Money Laundering — federal requirements for financial transaction reporting and record-keeping.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Account Opening Authorization</w:t>
      </w:r>
    </w:p>
    <w:p>
      <w:pPr>
        <w:spacing w:after="150" w:before="0"/>
        <w:jc w:val="both"/>
      </w:pPr>
      <w:r>
        <w:rPr>
          <w:rFonts w:ascii="Calibri" w:cs="Calibri" w:eastAsia="Calibri" w:hAnsi="Calibri"/>
          <w:color w:val="333333"/>
          <w:sz w:val="22"/>
          <w:szCs w:val="22"/>
        </w:rPr>
        <w:t xml:space="preserve">No bank account may be opened without prior written approval from the Treasurer and CFO. The request must specify: business purpose, legal entity, currency, account type, proposed signatories, anticipated balance range, and sweep/concentration configuration. Unauthorized accounts discovered shall be immediately reported to the CFO and closed or brought into compliance within [10] business days.</w:t>
      </w:r>
    </w:p>
    <w:p>
      <w:pPr>
        <w:pStyle w:val="Heading2"/>
        <w:spacing w:after="150" w:before="300"/>
      </w:pPr>
      <w:r>
        <w:rPr>
          <w:rFonts w:ascii="Georgia" w:cs="Georgia" w:eastAsia="Georgia" w:hAnsi="Georgia"/>
          <w:b/>
          <w:bCs/>
          <w:color w:val="333333"/>
          <w:sz w:val="26"/>
          <w:szCs w:val="26"/>
        </w:rPr>
        <w:t xml:space="preserve">3.2 Signatory Authority</w:t>
      </w:r>
    </w:p>
    <w:p>
      <w:pPr>
        <w:spacing w:after="150" w:before="0"/>
        <w:jc w:val="both"/>
      </w:pPr>
      <w:r>
        <w:rPr>
          <w:rFonts w:ascii="Calibri" w:cs="Calibri" w:eastAsia="Calibri" w:hAnsi="Calibri"/>
          <w:color w:val="333333"/>
          <w:sz w:val="22"/>
          <w:szCs w:val="22"/>
        </w:rPr>
        <w:t xml:space="preserve">Bank account signatories shall be designated by corporate resolution and limited to officers and employees approved by the CFO. The following minimum requirements apply: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accounts require at least two authorized signatories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Single-signature authority is limited to transactions below [threshold, e.g., $25,000]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Transactions above [threshold] require dual signatures or dual electronic authorization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CFO shall be a signatory on all primary operating and concentration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Signatory lists shall be reviewed and updated at least semi-annually and immediately upon personnel changes</w:t>
      </w:r>
    </w:p>
    <w:p>
      <w:pPr>
        <w:pStyle w:val="Heading2"/>
        <w:spacing w:after="150" w:before="300"/>
      </w:pPr>
      <w:r>
        <w:rPr>
          <w:rFonts w:ascii="Georgia" w:cs="Georgia" w:eastAsia="Georgia" w:hAnsi="Georgia"/>
          <w:b/>
          <w:bCs/>
          <w:color w:val="333333"/>
          <w:sz w:val="26"/>
          <w:szCs w:val="26"/>
        </w:rPr>
        <w:t xml:space="preserve">3.3 Account Register Maintenance</w:t>
      </w:r>
    </w:p>
    <w:p>
      <w:pPr>
        <w:spacing w:after="150" w:before="0"/>
        <w:jc w:val="both"/>
      </w:pPr>
      <w:r>
        <w:rPr>
          <w:rFonts w:ascii="Calibri" w:cs="Calibri" w:eastAsia="Calibri" w:hAnsi="Calibri"/>
          <w:color w:val="333333"/>
          <w:sz w:val="22"/>
          <w:szCs w:val="22"/>
        </w:rPr>
        <w:t xml:space="preserve">Treasury shall maintain a comprehensive bank account register documenting every account. The register shall be reconciled to bank confirmations annually. Accounts not in the register are unauthorized. The register shall be reviewed by the Controller quarterly and by Internal Audit annually.</w:t>
      </w:r>
    </w:p>
    <w:p>
      <w:pPr>
        <w:pStyle w:val="Heading2"/>
        <w:spacing w:after="150" w:before="300"/>
      </w:pPr>
      <w:r>
        <w:rPr>
          <w:rFonts w:ascii="Georgia" w:cs="Georgia" w:eastAsia="Georgia" w:hAnsi="Georgia"/>
          <w:b/>
          <w:bCs/>
          <w:color w:val="333333"/>
          <w:sz w:val="26"/>
          <w:szCs w:val="26"/>
        </w:rPr>
        <w:t xml:space="preserve">3.4 Account Closure</w:t>
      </w:r>
    </w:p>
    <w:p>
      <w:pPr>
        <w:spacing w:after="150" w:before="0"/>
        <w:jc w:val="both"/>
      </w:pPr>
      <w:r>
        <w:rPr>
          <w:rFonts w:ascii="Calibri" w:cs="Calibri" w:eastAsia="Calibri" w:hAnsi="Calibri"/>
          <w:color w:val="333333"/>
          <w:sz w:val="22"/>
          <w:szCs w:val="22"/>
        </w:rPr>
        <w:t xml:space="preserve">Accounts that are dormant (no activity for [90] consecutive days) shall be reviewed for closure. Accounts associated with divested entities, completed projects, or terminated relationships shall be closed within [30] days. Account closure requires Treasurer approval and verification that all outstanding items have cleared.</w:t>
      </w:r>
    </w:p>
    <w:p>
      <w:pPr>
        <w:pStyle w:val="Heading2"/>
        <w:spacing w:after="150" w:before="300"/>
      </w:pPr>
      <w:r>
        <w:rPr>
          <w:rFonts w:ascii="Georgia" w:cs="Georgia" w:eastAsia="Georgia" w:hAnsi="Georgia"/>
          <w:b/>
          <w:bCs/>
          <w:color w:val="333333"/>
          <w:sz w:val="26"/>
          <w:szCs w:val="26"/>
        </w:rPr>
        <w:t xml:space="preserve">3.5 Foreign Bank Accounts</w:t>
      </w:r>
    </w:p>
    <w:p>
      <w:pPr>
        <w:spacing w:after="150" w:before="0"/>
        <w:jc w:val="both"/>
      </w:pPr>
      <w:r>
        <w:rPr>
          <w:rFonts w:ascii="Calibri" w:cs="Calibri" w:eastAsia="Calibri" w:hAnsi="Calibri"/>
          <w:color w:val="333333"/>
          <w:sz w:val="22"/>
          <w:szCs w:val="22"/>
        </w:rPr>
        <w:t xml:space="preserve">Foreign bank accounts are subject to additional controls: CFO approval required for opening, inclusion in FBAR filing if aggregate foreign account balances exceed $10,000, compliance with local banking regulations, and enhanced monitoring for sanctions compliance. Treasury shall coordinate with Tax for FBAR and FATCA reporting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all new bank accounts and banking relationships. Designates authorized signatories. Reviews the bank account register semi-annually.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bank account register. Initiates account opening and closing requests. Coordinates with banks on account services. Manages signatory resolutions.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 Analyst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bank account register. Processes account changes. Coordinates document execution with banks. Monitors account activity for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bank reconciliations. Ensures proper financial statement classification of bank balances. Oversees cash reporting accuracy.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banking agreements and account documentation. Advises on regulatory compliance. Prepares corporate resolutions for signatory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bank connectivity systems and access. Ensures security of online banking platforms. Supports bank file transmission (positive pay, ACH).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bank account controls annually. Verifies register completeness against bank confirmations. Tests signatory authority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Subsidiary Controllers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Comply with this policy for local accounts. Report all account activity to corporate Treasury. Do not open accounts without corporate approval.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Account Opening Procedures</w:t>
      </w:r>
    </w:p>
    <w:p>
      <w:pPr>
        <w:pStyle w:val="Heading3"/>
        <w:spacing w:after="100" w:before="200"/>
      </w:pPr>
      <w:r>
        <w:rPr>
          <w:rFonts w:ascii="Georgia" w:cs="Georgia" w:eastAsia="Georgia" w:hAnsi="Georgia"/>
          <w:b/>
          <w:bCs/>
          <w:color w:val="444444"/>
          <w:sz w:val="22"/>
          <w:szCs w:val="22"/>
        </w:rPr>
        <w:t xml:space="preserve">5.1.1 Request and Approval</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Requestor submits Bank Account Request Form to Treasury specifying: legal entity, purpose, currency, type, expected balance, and proposed signatories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Treasury reviews the request for completeness and business justification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Treasurer approves or denies the request (CFO approval required for all new accounts)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Treasury selects the banking partner based on existing relationships, service capabilities, and geographic requirements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Legal prepares or reviews the corporate resolution and banking agreements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Authorized officers execute the account opening documents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Bank confirms account opening with account number and routing information</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Treasury adds the account to the bank account register and configures sweep/concentration</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IT configures bank connectivity, positive pay, and ACH block/filter services</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Controller adds the account to the GL and reconciliation schedule</w:t>
      </w:r>
    </w:p>
    <w:p>
      <w:pPr>
        <w:pStyle w:val="Heading3"/>
        <w:spacing w:after="100" w:before="200"/>
      </w:pPr>
      <w:r>
        <w:rPr>
          <w:rFonts w:ascii="Georgia" w:cs="Georgia" w:eastAsia="Georgia" w:hAnsi="Georgia"/>
          <w:b/>
          <w:bCs/>
          <w:color w:val="444444"/>
          <w:sz w:val="22"/>
          <w:szCs w:val="22"/>
        </w:rPr>
        <w:t xml:space="preserve">5.1.2 Due Diligence for New Banking Partners</w:t>
      </w:r>
    </w:p>
    <w:p>
      <w:pPr>
        <w:spacing w:after="150" w:before="0"/>
        <w:jc w:val="both"/>
      </w:pPr>
      <w:r>
        <w:rPr>
          <w:rFonts w:ascii="Calibri" w:cs="Calibri" w:eastAsia="Calibri" w:hAnsi="Calibri"/>
          <w:color w:val="333333"/>
          <w:sz w:val="22"/>
          <w:szCs w:val="22"/>
        </w:rPr>
        <w:t xml:space="preserve">When the account opening involves a new banking partner, additional due diligence shall include: bank credit rating verification (minimum [A-] from two rating agencies), regulatory standing review, service capability assessment, fee structure comparison, technology platform evaluation, and reference checks from existing clients.</w:t>
      </w:r>
    </w:p>
    <w:p>
      <w:pPr>
        <w:pStyle w:val="Heading2"/>
        <w:spacing w:after="150" w:before="300"/>
      </w:pPr>
      <w:r>
        <w:rPr>
          <w:rFonts w:ascii="Georgia" w:cs="Georgia" w:eastAsia="Georgia" w:hAnsi="Georgia"/>
          <w:b/>
          <w:bCs/>
          <w:color w:val="333333"/>
          <w:sz w:val="26"/>
          <w:szCs w:val="26"/>
        </w:rPr>
        <w:t xml:space="preserve">5.2 Account Maintenance</w:t>
      </w:r>
    </w:p>
    <w:p>
      <w:pPr>
        <w:pStyle w:val="Heading3"/>
        <w:spacing w:after="100" w:before="200"/>
      </w:pPr>
      <w:r>
        <w:rPr>
          <w:rFonts w:ascii="Georgia" w:cs="Georgia" w:eastAsia="Georgia" w:hAnsi="Georgia"/>
          <w:b/>
          <w:bCs/>
          <w:color w:val="444444"/>
          <w:sz w:val="22"/>
          <w:szCs w:val="22"/>
        </w:rPr>
        <w:t xml:space="preserve">5.2.1 Signatory Changes</w:t>
      </w:r>
    </w:p>
    <w:p>
      <w:pPr>
        <w:spacing w:after="150" w:before="0"/>
        <w:jc w:val="both"/>
      </w:pPr>
      <w:r>
        <w:rPr>
          <w:rFonts w:ascii="Calibri" w:cs="Calibri" w:eastAsia="Calibri" w:hAnsi="Calibri"/>
          <w:color w:val="333333"/>
          <w:sz w:val="22"/>
          <w:szCs w:val="22"/>
        </w:rPr>
        <w:t xml:space="preserve">When authorized signatories change (hire, termination, role change), Treasury shall update bank signatory records within [5] business days. Terminated employees shall be removed from all signatory cards on the date of termination. Updated corporate resolutions shall be filed with each bank. Treasury shall maintain a log of all signatory changes with effective dates.</w:t>
      </w:r>
    </w:p>
    <w:p>
      <w:pPr>
        <w:pStyle w:val="Heading3"/>
        <w:spacing w:after="100" w:before="200"/>
      </w:pPr>
      <w:r>
        <w:rPr>
          <w:rFonts w:ascii="Georgia" w:cs="Georgia" w:eastAsia="Georgia" w:hAnsi="Georgia"/>
          <w:b/>
          <w:bCs/>
          <w:color w:val="444444"/>
          <w:sz w:val="22"/>
          <w:szCs w:val="22"/>
        </w:rPr>
        <w:t xml:space="preserve">5.2.2 Service Configuration</w:t>
      </w:r>
    </w:p>
    <w:p>
      <w:pPr>
        <w:spacing w:after="150" w:before="0"/>
        <w:jc w:val="both"/>
      </w:pPr>
      <w:r>
        <w:rPr>
          <w:rFonts w:ascii="Calibri" w:cs="Calibri" w:eastAsia="Calibri" w:hAnsi="Calibri"/>
          <w:color w:val="333333"/>
          <w:sz w:val="22"/>
          <w:szCs w:val="22"/>
        </w:rPr>
        <w:t xml:space="preserve">Treasury shall configure the following services for each account as appropriate: zero balance sweep (operating accounts), positive pay (disbursement accounts), ACH debit block/filter (all accounts), lockbox (collection accounts), controlled disbursement (primary disbursement account), and balance reporting (all accounts). Service configurations shall be documented in the bank account register.</w:t>
      </w:r>
    </w:p>
    <w:p>
      <w:pPr>
        <w:pStyle w:val="Heading3"/>
        <w:spacing w:after="100" w:before="200"/>
      </w:pPr>
      <w:r>
        <w:rPr>
          <w:rFonts w:ascii="Georgia" w:cs="Georgia" w:eastAsia="Georgia" w:hAnsi="Georgia"/>
          <w:b/>
          <w:bCs/>
          <w:color w:val="444444"/>
          <w:sz w:val="22"/>
          <w:szCs w:val="22"/>
        </w:rPr>
        <w:t xml:space="preserve">5.2.3 Bank Account Reconciliation</w:t>
      </w:r>
    </w:p>
    <w:p>
      <w:pPr>
        <w:spacing w:after="150" w:before="0"/>
        <w:jc w:val="both"/>
      </w:pPr>
      <w:r>
        <w:rPr>
          <w:rFonts w:ascii="Calibri" w:cs="Calibri" w:eastAsia="Calibri" w:hAnsi="Calibri"/>
          <w:color w:val="333333"/>
          <w:sz w:val="22"/>
          <w:szCs w:val="22"/>
        </w:rPr>
        <w:t xml:space="preserve">All bank accounts shall be reconciled within [3] business days of month-end. Reconciliation shall be performed by an individual who does not have payment initiation authority for the account being reconciled. Reconciling items shall be investigated and resolved within [30] days. Items older than [60] days require Controller escalation.</w:t>
      </w:r>
    </w:p>
    <w:p>
      <w:pPr>
        <w:pStyle w:val="Heading2"/>
        <w:spacing w:after="150" w:before="300"/>
      </w:pPr>
      <w:r>
        <w:rPr>
          <w:rFonts w:ascii="Georgia" w:cs="Georgia" w:eastAsia="Georgia" w:hAnsi="Georgia"/>
          <w:b/>
          <w:bCs/>
          <w:color w:val="333333"/>
          <w:sz w:val="26"/>
          <w:szCs w:val="26"/>
        </w:rPr>
        <w:t xml:space="preserve">5.3 Account Closure Procedures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Treasurer authorizes account closure with documented business reason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Treasury verifies all outstanding checks have cleared and all pending ACH transactions have settled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Remaining balance is transferred to the concentration account or designated successor account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Treasury submits formal closure request to the bank and obtains written confirmation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Bank connectivity and services (positive pay, ACH filter) are deactivated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The account is marked as closed in the bank account register with closure date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removes the account from the GL reconciliation schedule</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Any related petty cash, lockbox, or merchant processing services are terminated</w:t>
      </w:r>
    </w:p>
    <w:p>
      <w:pPr>
        <w:pStyle w:val="Heading2"/>
        <w:spacing w:after="150" w:before="300"/>
      </w:pPr>
      <w:r>
        <w:rPr>
          <w:rFonts w:ascii="Georgia" w:cs="Georgia" w:eastAsia="Georgia" w:hAnsi="Georgia"/>
          <w:b/>
          <w:bCs/>
          <w:color w:val="333333"/>
          <w:sz w:val="26"/>
          <w:szCs w:val="26"/>
        </w:rPr>
        <w:t xml:space="preserve">5.4 Bank Account Security</w:t>
      </w:r>
    </w:p>
    <w:p>
      <w:pPr>
        <w:pStyle w:val="Heading3"/>
        <w:spacing w:after="100" w:before="200"/>
      </w:pPr>
      <w:r>
        <w:rPr>
          <w:rFonts w:ascii="Georgia" w:cs="Georgia" w:eastAsia="Georgia" w:hAnsi="Georgia"/>
          <w:b/>
          <w:bCs/>
          <w:color w:val="444444"/>
          <w:sz w:val="22"/>
          <w:szCs w:val="22"/>
        </w:rPr>
        <w:t xml:space="preserve">5.4.1 Online Banking Security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Multi-factor authentication required for all online banking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IP address whitelisting for online banking platforms where supported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Session timeout after [15] minutes of inactivity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Administrative access limited to Treasury staff with documented authorization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User access reviewed quarterly and updated immediately for personnel changes</w:t>
      </w:r>
    </w:p>
    <w:p>
      <w:pPr>
        <w:pStyle w:val="Heading3"/>
        <w:spacing w:after="100" w:before="200"/>
      </w:pPr>
      <w:r>
        <w:rPr>
          <w:rFonts w:ascii="Georgia" w:cs="Georgia" w:eastAsia="Georgia" w:hAnsi="Georgia"/>
          <w:b/>
          <w:bCs/>
          <w:color w:val="444444"/>
          <w:sz w:val="22"/>
          <w:szCs w:val="22"/>
        </w:rPr>
        <w:t xml:space="preserve">5.4.2 Fraud Prevention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Positive pay transmitted daily before check clearing cutoff for all check disbursement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Payee positive pay enabled where supported by the bank (validates payee name in addition to check number and amount)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ACH debit filter configured to permit only pre-authorized originators and amounts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bank activity review for unauthorized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 callback verification for all new beneficiaries</w:t>
      </w:r>
    </w:p>
    <w:p>
      <w:pPr>
        <w:pStyle w:val="Heading3"/>
        <w:spacing w:after="100" w:before="200"/>
      </w:pPr>
      <w:r>
        <w:rPr>
          <w:rFonts w:ascii="Georgia" w:cs="Georgia" w:eastAsia="Georgia" w:hAnsi="Georgia"/>
          <w:b/>
          <w:bCs/>
          <w:color w:val="444444"/>
          <w:sz w:val="22"/>
          <w:szCs w:val="22"/>
        </w:rPr>
        <w:t xml:space="preserve">5.4.3 Physical Security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Check stock stored in a locked cabinet with access limited to authorized personnel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Voided checks mutilated and retained per the record retention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Signature stamps or plates are prohibited — all signatures shall be manual or electronic through secure platforms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tokens and security devices stored securely and not shared between users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Activity</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Open new bank account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Close bank account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Change authorized signatories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banking relationship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Change bank services/configuration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Foreign bank account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Escrow or trust account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Online banking user access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Positive pay exception override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or 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Unauthorized Accounts</w:t>
      </w:r>
    </w:p>
    <w:p>
      <w:pPr>
        <w:spacing w:after="150" w:before="0"/>
        <w:jc w:val="both"/>
      </w:pPr>
      <w:r>
        <w:rPr>
          <w:rFonts w:ascii="Calibri" w:cs="Calibri" w:eastAsia="Calibri" w:hAnsi="Calibri"/>
          <w:color w:val="333333"/>
          <w:sz w:val="22"/>
          <w:szCs w:val="22"/>
        </w:rPr>
        <w:t xml:space="preserve">Any bank account discovered that is not in the bank account register shall be immediately reported to the CFO. The account shall be evaluated for legitimacy: if authorized but unregistered, it shall be added to the register with corrective action for the process failure; if unauthorized, it shall be frozen and closed pending investigation.</w:t>
      </w:r>
    </w:p>
    <w:p>
      <w:pPr>
        <w:pStyle w:val="Heading2"/>
        <w:spacing w:after="150" w:before="300"/>
      </w:pPr>
      <w:r>
        <w:rPr>
          <w:rFonts w:ascii="Georgia" w:cs="Georgia" w:eastAsia="Georgia" w:hAnsi="Georgia"/>
          <w:b/>
          <w:bCs/>
          <w:color w:val="333333"/>
          <w:sz w:val="26"/>
          <w:szCs w:val="26"/>
        </w:rPr>
        <w:t xml:space="preserve">7.2 Escalation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Treasury Analyst — routine account inquiries, service issues, reconciliation questions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Treasurer — account opening/closing, signatory changes, service configuration, fraud alerts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 new banking relationships, unauthorized accounts, significant fraud incidents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Audit Committee — systemic control failures, material fraud losses, regulatory violations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pStyle w:val="Heading2"/>
        <w:spacing w:after="150" w:before="300"/>
      </w:pPr>
      <w:r>
        <w:rPr>
          <w:rFonts w:ascii="Georgia" w:cs="Georgia" w:eastAsia="Georgia" w:hAnsi="Georgia"/>
          <w:b/>
          <w:bCs/>
          <w:color w:val="333333"/>
          <w:sz w:val="26"/>
          <w:szCs w:val="26"/>
        </w:rPr>
        <w:t xml:space="preserve">8.1 Ongoing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positive pay exception review and resolution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ACH debit filter exception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bank reconciliation completion within 3 business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bank account register review for completeness and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signatory list review and update</w:t>
      </w:r>
    </w:p>
    <w:p>
      <w:pPr>
        <w:pStyle w:val="Heading2"/>
        <w:spacing w:after="150" w:before="300"/>
      </w:pPr>
      <w:r>
        <w:rPr>
          <w:rFonts w:ascii="Georgia" w:cs="Georgia" w:eastAsia="Georgia" w:hAnsi="Georgia"/>
          <w:b/>
          <w:bCs/>
          <w:color w:val="333333"/>
          <w:sz w:val="26"/>
          <w:szCs w:val="26"/>
        </w:rPr>
        <w:t xml:space="preserve">8.2 Annual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bank confirmation reconciliation to the bank account register (test for completeness)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bank account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banking agreements for expired terms or outdated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FBAR filing review for foreign account reporting compliance</w:t>
      </w:r>
    </w:p>
    <w:p>
      <w:pPr>
        <w:pStyle w:val="Heading2"/>
        <w:spacing w:after="150" w:before="300"/>
      </w:pPr>
      <w:r>
        <w:rPr>
          <w:rFonts w:ascii="Georgia" w:cs="Georgia" w:eastAsia="Georgia" w:hAnsi="Georgia"/>
          <w:b/>
          <w:bCs/>
          <w:color w:val="333333"/>
          <w:sz w:val="26"/>
          <w:szCs w:val="26"/>
        </w:rPr>
        <w:t xml:space="preserve">8.3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reconciliation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Reconciling items &gt; 30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Unauthorized account incidents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Positive pay exception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 of items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account register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reconciled to bank confirmations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Retention &amp; Document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Secrecy Act / Anti-Money Laundering regulations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FBAR (FinCEN 114) reporting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FATCA (Foreign Account Tax Compliance 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OFAC sanctions compliance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Bank Account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Requesting Entity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Legal entity name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Purpose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Why this account is needed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 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Operating, payroll, escrow, investment, etc.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Currency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Account currency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Preference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Preferred bank (or request Treasury recommendation)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Expected Balance Range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Anticipated average and peak balances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Proposed Signatories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Names and authority levels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Sweep Configuration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ZBA, target balance, or standalone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Requested By /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 Approval /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 Approval /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Bank Account Register Fields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ID (internal reference number)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name and branch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number (masked: last 4 digits visible)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Routing/SWIFT/IBAN number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type and currency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entity owner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purpose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Authorized signatories with authority levels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Sweep/concentration configuration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Services enabled (positive pay, ACH filter, lockbox, etc.)</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Opening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Status (active, dormant, pending closure, closed)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Last reconciliation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FBAR reportable (yes/no)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Bank Relationship Management</w:t>
      </w:r>
    </w:p>
    <w:p>
      <w:pPr>
        <w:pStyle w:val="Heading2"/>
        <w:spacing w:after="150" w:before="300"/>
      </w:pPr>
      <w:r>
        <w:rPr>
          <w:rFonts w:ascii="Georgia" w:cs="Georgia" w:eastAsia="Georgia" w:hAnsi="Georgia"/>
          <w:b/>
          <w:bCs/>
          <w:color w:val="333333"/>
          <w:sz w:val="26"/>
          <w:szCs w:val="26"/>
        </w:rPr>
        <w:t xml:space="preserve">11.1 Primary and Secondary Banking Strategy</w:t>
      </w:r>
    </w:p>
    <w:p>
      <w:pPr>
        <w:spacing w:after="150" w:before="0"/>
        <w:jc w:val="both"/>
      </w:pPr>
      <w:r>
        <w:rPr>
          <w:rFonts w:ascii="Calibri" w:cs="Calibri" w:eastAsia="Calibri" w:hAnsi="Calibri"/>
          <w:color w:val="333333"/>
          <w:sz w:val="22"/>
          <w:szCs w:val="22"/>
        </w:rPr>
        <w:t xml:space="preserve">[Company Name] shall maintain banking relationships structured to balance service quality, pricing competitiveness, and counterparty diversification. The banking structure shall include: a primary operating bank handling day-to-day transaction processing (deposits, disbursements, payroll), a secondary bank providing backup capability and competitive pricing pressure, and specialized banks for specific needs (international operations, merchant services, investment management).</w:t>
      </w:r>
    </w:p>
    <w:p>
      <w:pPr>
        <w:pStyle w:val="Heading2"/>
        <w:spacing w:after="150" w:before="300"/>
      </w:pPr>
      <w:r>
        <w:rPr>
          <w:rFonts w:ascii="Georgia" w:cs="Georgia" w:eastAsia="Georgia" w:hAnsi="Georgia"/>
          <w:b/>
          <w:bCs/>
          <w:color w:val="333333"/>
          <w:sz w:val="26"/>
          <w:szCs w:val="26"/>
        </w:rPr>
        <w:t xml:space="preserve">11.2 Bank Fee Analysis</w:t>
      </w:r>
    </w:p>
    <w:p>
      <w:pPr>
        <w:spacing w:after="150" w:before="0"/>
        <w:jc w:val="both"/>
      </w:pPr>
      <w:r>
        <w:rPr>
          <w:rFonts w:ascii="Calibri" w:cs="Calibri" w:eastAsia="Calibri" w:hAnsi="Calibri"/>
          <w:color w:val="333333"/>
          <w:sz w:val="22"/>
          <w:szCs w:val="22"/>
        </w:rPr>
        <w:t xml:space="preserve">Treasury shall conduct a comprehensive bank fee analysis at least annually. The analysis shall include: Account Analysis Statement review for all bank accounts, comparison of actual fees to contracted pricing, identification of services being charged but not used, benchmarking of fees against industry standards and competitive bids, and negotiation strategy for fee reductions. Bank fee savings opportunities shall be presented to the CFO with implementation recommendations.</w:t>
      </w:r>
    </w:p>
    <w:p>
      <w:pPr>
        <w:pStyle w:val="Heading2"/>
        <w:spacing w:after="150" w:before="300"/>
      </w:pPr>
      <w:r>
        <w:rPr>
          <w:rFonts w:ascii="Georgia" w:cs="Georgia" w:eastAsia="Georgia" w:hAnsi="Georgia"/>
          <w:b/>
          <w:bCs/>
          <w:color w:val="333333"/>
          <w:sz w:val="26"/>
          <w:szCs w:val="26"/>
        </w:rPr>
        <w:t xml:space="preserve">11.3 Service Level Monitoring</w:t>
      </w:r>
    </w:p>
    <w:p>
      <w:pPr>
        <w:spacing w:after="150" w:before="0"/>
        <w:jc w:val="both"/>
      </w:pPr>
      <w:r>
        <w:rPr>
          <w:rFonts w:ascii="Calibri" w:cs="Calibri" w:eastAsia="Calibri" w:hAnsi="Calibri"/>
          <w:color w:val="333333"/>
          <w:sz w:val="22"/>
          <w:szCs w:val="22"/>
        </w:rPr>
        <w:t xml:space="preserve">Treasury shall monitor bank service quality including: transaction processing accuracy and timeliness, online banking platform availability and performance, customer service responsiveness, reporting quality and completeness, and issue resolution effectiveness. Service level concerns shall be documented and raised with the bank relationship manager quarterly.</w:t>
      </w:r>
    </w:p>
    <w:p>
      <w:pPr>
        <w:pStyle w:val="Heading2"/>
        <w:spacing w:after="150" w:before="300"/>
      </w:pPr>
      <w:r>
        <w:rPr>
          <w:rFonts w:ascii="Georgia" w:cs="Georgia" w:eastAsia="Georgia" w:hAnsi="Georgia"/>
          <w:b/>
          <w:bCs/>
          <w:color w:val="333333"/>
          <w:sz w:val="26"/>
          <w:szCs w:val="26"/>
        </w:rPr>
        <w:t xml:space="preserve">11.4 RFP Process for Banking Services</w:t>
      </w:r>
    </w:p>
    <w:p>
      <w:pPr>
        <w:spacing w:after="150" w:before="0"/>
        <w:jc w:val="both"/>
      </w:pPr>
      <w:r>
        <w:rPr>
          <w:rFonts w:ascii="Calibri" w:cs="Calibri" w:eastAsia="Calibri" w:hAnsi="Calibri"/>
          <w:color w:val="333333"/>
          <w:sz w:val="22"/>
          <w:szCs w:val="22"/>
        </w:rPr>
        <w:t xml:space="preserve">[Company Name] shall conduct a competitive Request for Proposal (RFP) for banking services at least every [5] years or when: the current bank's service quality has materially declined, pricing is significantly above market, the company's banking needs have materially changed, or a major corporate event (IPO, acquisition, international expansion) requires enhanced banking capabilities. The RFP process shall be managed by Treasury with Procurement support.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Electronic Banking Security</w:t>
      </w:r>
    </w:p>
    <w:p>
      <w:pPr>
        <w:pStyle w:val="Heading2"/>
        <w:spacing w:after="150" w:before="300"/>
      </w:pPr>
      <w:r>
        <w:rPr>
          <w:rFonts w:ascii="Georgia" w:cs="Georgia" w:eastAsia="Georgia" w:hAnsi="Georgia"/>
          <w:b/>
          <w:bCs/>
          <w:color w:val="333333"/>
          <w:sz w:val="26"/>
          <w:szCs w:val="26"/>
        </w:rPr>
        <w:t xml:space="preserve">12.1 Online Banking Access Controls</w:t>
      </w:r>
    </w:p>
    <w:p>
      <w:pPr>
        <w:spacing w:after="150" w:before="0"/>
        <w:jc w:val="both"/>
      </w:pPr>
      <w:r>
        <w:rPr>
          <w:rFonts w:ascii="Calibri" w:cs="Calibri" w:eastAsia="Calibri" w:hAnsi="Calibri"/>
          <w:color w:val="333333"/>
          <w:sz w:val="22"/>
          <w:szCs w:val="22"/>
        </w:rPr>
        <w:t xml:space="preserve">Access to online banking platforms shall be governed by the following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Individual user accounts — no shared credentials or generic user IDs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Multi-factor authentication required for all users (hardware token or authenticator app preferred over SMS)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Role-based access: view-only, transaction initiation, transaction approval, and administration separated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Dual authorization required for all payment initiation above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IP whitelisting where supported by the banking platform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Automatic session timeout after [15] minutes of inactivity</w:t>
      </w:r>
    </w:p>
    <w:p>
      <w:pPr>
        <w:pStyle w:val="Heading2"/>
        <w:spacing w:after="150" w:before="300"/>
      </w:pPr>
      <w:r>
        <w:rPr>
          <w:rFonts w:ascii="Georgia" w:cs="Georgia" w:eastAsia="Georgia" w:hAnsi="Georgia"/>
          <w:b/>
          <w:bCs/>
          <w:color w:val="333333"/>
          <w:sz w:val="26"/>
          <w:szCs w:val="26"/>
        </w:rPr>
        <w:t xml:space="preserve">12.2 Payment Fraud Prevention</w:t>
      </w:r>
    </w:p>
    <w:p>
      <w:pPr>
        <w:spacing w:after="150" w:before="0"/>
        <w:jc w:val="both"/>
      </w:pPr>
      <w:r>
        <w:rPr>
          <w:rFonts w:ascii="Calibri" w:cs="Calibri" w:eastAsia="Calibri" w:hAnsi="Calibri"/>
          <w:color w:val="333333"/>
          <w:sz w:val="22"/>
          <w:szCs w:val="22"/>
        </w:rPr>
        <w:t xml:space="preserve">[Company Name] shall implement the following payment fraud prevention controls across all bank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Positive Pay for all check disbursement accounts (checks not matching the issued file are rejected)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ACH Positive Pay or ACH debit blocks on all accounts not expecting incoming ACH debits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Wire transfer callback verification for all new beneficiaries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reconciliation of all bank account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Automated alerts for transactions exceeding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Immediate investigation of all unauthorized transaction alerts</w:t>
      </w:r>
    </w:p>
    <w:p>
      <w:pPr>
        <w:pStyle w:val="Heading2"/>
        <w:spacing w:after="150" w:before="300"/>
      </w:pPr>
      <w:r>
        <w:rPr>
          <w:rFonts w:ascii="Georgia" w:cs="Georgia" w:eastAsia="Georgia" w:hAnsi="Georgia"/>
          <w:b/>
          <w:bCs/>
          <w:color w:val="333333"/>
          <w:sz w:val="26"/>
          <w:szCs w:val="26"/>
        </w:rPr>
        <w:t xml:space="preserve">12.3 Business Continuity for Banking</w:t>
      </w:r>
    </w:p>
    <w:p>
      <w:pPr>
        <w:spacing w:after="150" w:before="0"/>
        <w:jc w:val="both"/>
      </w:pPr>
      <w:r>
        <w:rPr>
          <w:rFonts w:ascii="Calibri" w:cs="Calibri" w:eastAsia="Calibri" w:hAnsi="Calibri"/>
          <w:color w:val="333333"/>
          <w:sz w:val="22"/>
          <w:szCs w:val="22"/>
        </w:rPr>
        <w:t xml:space="preserve">Treasury shall maintain a banking continuity plan that addresses: alternative payment processing if the primary bank is unavailable, pre-established accounts at the secondary bank with authorized signers, documented manual payment procedures (paper checks, phone wire transfers), and tested procedures for redirecting incoming payments to alternate accounts. The banking continuity plan shall be tested annually in coordination with the overall Business Continuity Policy.</w:t>
      </w:r>
    </w:p>
    <w:p>
      <w:pPr>
        <w:pStyle w:val="Heading2"/>
        <w:spacing w:after="150" w:before="300"/>
      </w:pPr>
      <w:r>
        <w:rPr>
          <w:rFonts w:ascii="Georgia" w:cs="Georgia" w:eastAsia="Georgia" w:hAnsi="Georgia"/>
          <w:b/>
          <w:bCs/>
          <w:color w:val="333333"/>
          <w:sz w:val="26"/>
          <w:szCs w:val="26"/>
        </w:rPr>
        <w:t xml:space="preserve">12.4 Bank Account Inventory and Documentation</w:t>
      </w:r>
    </w:p>
    <w:p>
      <w:pPr>
        <w:spacing w:after="150" w:before="0"/>
        <w:jc w:val="both"/>
      </w:pPr>
      <w:r>
        <w:rPr>
          <w:rFonts w:ascii="Calibri" w:cs="Calibri" w:eastAsia="Calibri" w:hAnsi="Calibri"/>
          <w:color w:val="333333"/>
          <w:sz w:val="22"/>
          <w:szCs w:val="22"/>
        </w:rPr>
        <w:t xml:space="preserve">Treasury shall maintain a complete inventory of all bank accounts including: bank name and branch, account number and type, account purpose, authorized signers (current), account opening date, associated services (positive pay, lockbox, merchant), monthly average balance, and fee structure. The inventory shall be reviewed quarterly and any dormant accounts identified for closure.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Bank Account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2026-07-13T07:06:53.691Z</dcterms:created>
  <dcterms:modified xsi:type="dcterms:W3CDTF">2026-07-13T07:06:53.691Z</dcterms:modified>
</cp:coreProperties>
</file>

<file path=docProps/custom.xml><?xml version="1.0" encoding="utf-8"?>
<Properties xmlns="http://schemas.openxmlformats.org/officeDocument/2006/custom-properties" xmlns:vt="http://schemas.openxmlformats.org/officeDocument/2006/docPropsVTypes"/>
</file>