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Cash &amp; Treasury Management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Cash and Treasury Management Policy establishes the standards, controls, and procedures governing how [Company Name] manages its cash resources, banking relationships, short-term investments, debt facilities, and foreign exchange exposure. The policy ensures that cash is safeguarded, liquidity is maintained, investment returns are optimized within acceptable risk parameters, and all treasury activities comply with applicable regulations and internal controls.</w:t>
      </w:r>
    </w:p>
    <w:p>
      <w:pPr>
        <w:spacing w:after="150" w:before="0"/>
        <w:jc w:val="both"/>
      </w:pPr>
      <w:r>
        <w:rPr>
          <w:rFonts w:ascii="Calibri" w:cs="Calibri" w:eastAsia="Calibri" w:hAnsi="Calibri"/>
          <w:color w:val="333333"/>
          <w:sz w:val="22"/>
          <w:szCs w:val="22"/>
        </w:rPr>
        <w:t xml:space="preserve">This policy applies to all cash management, investment, borrowing, and foreign exchange activities conducted by [Company Name] and its subsidiaries worldwide. It governs all bank accounts, investment accounts, credit facilities, and treasury instruments regardless of currency or jurisdiction.</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Safeguard company cash and liquid assets through effective controls and segregation of duties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Maintain sufficient liquidity to meet all operational, debt service, and contingency requirements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Optimize investment returns on surplus cash within the approved risk framework</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Minimize borrowing costs through efficient capital structure and debt management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Manage foreign exchange exposure to reduce earnings volatility from currency movements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compliance with debt covenants, investment policy restrictions, and regulatory requirements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Provide accurate cash flow forecasting to support business planning and capital allocation decisions</w:t>
      </w:r>
    </w:p>
    <w:p>
      <w:pPr>
        <w:pStyle w:val="Heading2"/>
        <w:spacing w:after="150" w:before="300"/>
      </w:pPr>
      <w:r>
        <w:rPr>
          <w:rFonts w:ascii="Georgia" w:cs="Georgia" w:eastAsia="Georgia" w:hAnsi="Georgia"/>
          <w:b/>
          <w:bCs/>
          <w:color w:val="333333"/>
          <w:sz w:val="26"/>
          <w:szCs w:val="26"/>
        </w:rPr>
        <w:t xml:space="preserve">1.2 Applicability</w:t>
      </w:r>
    </w:p>
    <w:p>
      <w:pPr>
        <w:spacing w:after="150" w:before="0"/>
        <w:jc w:val="both"/>
      </w:pPr>
      <w:r>
        <w:rPr>
          <w:rFonts w:ascii="Calibri" w:cs="Calibri" w:eastAsia="Calibri" w:hAnsi="Calibri"/>
          <w:color w:val="333333"/>
          <w:sz w:val="22"/>
          <w:szCs w:val="22"/>
        </w:rPr>
        <w:t xml:space="preserve">This policy applies to all personnel involved in cash management, including the CFO, Treasurer, Controller, AP/AR managers, and any individual with authority to initiate or approve payments, investments, or borrowing transactions. Subsidiary controllers and local finance managers shall comply with this policy subject to local regulatory requirements.</w:t>
      </w:r>
    </w:p>
    <w:p>
      <w:pPr>
        <w:pBdr>
          <w:left w:val="single" w:color="D4AF37" w:sz="8"/>
        </w:pBdr>
        <w:spacing w:after="200" w:before="100"/>
        <w:ind w:left="360"/>
      </w:pPr>
      <w:r>
        <w:rPr>
          <w:rFonts w:ascii="Calibri" w:cs="Calibri" w:eastAsia="Calibri" w:hAnsi="Calibri"/>
          <w:b/>
          <w:bCs/>
          <w:color w:val="D4AF37"/>
          <w:sz w:val="20"/>
          <w:szCs w:val="20"/>
        </w:rPr>
        <w:t xml:space="preserve">Note: </w:t>
      </w:r>
      <w:r>
        <w:rPr>
          <w:rFonts w:ascii="Calibri" w:cs="Calibri" w:eastAsia="Calibri" w:hAnsi="Calibri"/>
          <w:i/>
          <w:iCs/>
          <w:color w:val="666666"/>
          <w:sz w:val="20"/>
          <w:szCs w:val="20"/>
        </w:rPr>
        <w:t xml:space="preserve">This policy should be read in conjunction with the Bank Account Management Policy, Foreign Currency Management Policy, Debt &amp; Covenant Compliance Policy, and Investment Policy.</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Cash Position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aggregate balance of all cash and cash equivalents across all bank accounts and investment vehicles at a point in time.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Cash Concentration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process of sweeping cash from subsidiary or regional accounts into a central concentration account to maximize investment returns and minimize idle balances.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Notional Pooling</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multi-bank arrangement that offsets debit and credit balances across accounts without physical movement of funds.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13-Week Cash Flow Forecast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rolling direct-method cash forecast projecting receipts and disbursements by week for the next 13 weeks.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Cash Conversion Cycle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number of days between paying for raw materials/services and collecting cash from customers (DSO + DIO - DPO).</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Debt Service Coverage Ratio</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Net operating income divided by total debt service obligations, measuring the ability to service debt from operating cash flow.</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Positive Pay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fraud prevention service where issued check details are transmitted to the bank for validation before clearing.</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ACH Block/Filter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service that blocks unauthorized ACH debits against company accounts, permitting only pre-authorized originators.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SWIFT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Society for Worldwide Interbank Financial Telecommunication — the global messaging network for international wire transfers.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Bank Connectivity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Electronic interfaces between company systems and banking platforms for payment initiation, balance reporting, and reconciliation.</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Cash Management Principles</w:t>
      </w:r>
    </w:p>
    <w:p>
      <w:pPr>
        <w:spacing w:after="150" w:before="0"/>
        <w:jc w:val="both"/>
      </w:pPr>
      <w:r>
        <w:rPr>
          <w:rFonts w:ascii="Calibri" w:cs="Calibri" w:eastAsia="Calibri" w:hAnsi="Calibri"/>
          <w:color w:val="333333"/>
          <w:sz w:val="22"/>
          <w:szCs w:val="22"/>
        </w:rPr>
        <w:t xml:space="preserve">[Company Name] shall manage cash to ensure: preservation of capital (no loss of principal), maintenance of adequate liquidity for operations and contingencies, achievement of competitive investment returns within risk parameters, and operational efficiency in cash processing. These priorities are listed in order of importance — liquidity always takes precedence over yield.</w:t>
      </w:r>
    </w:p>
    <w:p>
      <w:pPr>
        <w:pStyle w:val="Heading2"/>
        <w:spacing w:after="150" w:before="300"/>
      </w:pPr>
      <w:r>
        <w:rPr>
          <w:rFonts w:ascii="Georgia" w:cs="Georgia" w:eastAsia="Georgia" w:hAnsi="Georgia"/>
          <w:b/>
          <w:bCs/>
          <w:color w:val="333333"/>
          <w:sz w:val="26"/>
          <w:szCs w:val="26"/>
        </w:rPr>
        <w:t xml:space="preserve">3.2 Bank Account Authorization</w:t>
      </w:r>
    </w:p>
    <w:p>
      <w:pPr>
        <w:spacing w:after="150" w:before="0"/>
        <w:jc w:val="both"/>
      </w:pPr>
      <w:r>
        <w:rPr>
          <w:rFonts w:ascii="Calibri" w:cs="Calibri" w:eastAsia="Calibri" w:hAnsi="Calibri"/>
          <w:color w:val="333333"/>
          <w:sz w:val="22"/>
          <w:szCs w:val="22"/>
        </w:rPr>
        <w:t xml:space="preserve">No bank account may be opened, modified, or closed without the written approval of the Treasurer and CFO. This applies to all account types: operating, payroll, investment, escrow, trust, and foreign currency accounts. All bank accounts shall be recorded in the master bank account register maintained by Treasury. Unauthorized bank accounts discovered shall be reported to the CFO immediately.</w:t>
      </w:r>
    </w:p>
    <w:p>
      <w:pPr>
        <w:pStyle w:val="Heading2"/>
        <w:spacing w:after="150" w:before="300"/>
      </w:pPr>
      <w:r>
        <w:rPr>
          <w:rFonts w:ascii="Georgia" w:cs="Georgia" w:eastAsia="Georgia" w:hAnsi="Georgia"/>
          <w:b/>
          <w:bCs/>
          <w:color w:val="333333"/>
          <w:sz w:val="26"/>
          <w:szCs w:val="26"/>
        </w:rPr>
        <w:t xml:space="preserve">3.3 Cash Concentration</w:t>
      </w:r>
    </w:p>
    <w:p>
      <w:pPr>
        <w:spacing w:after="150" w:before="0"/>
        <w:jc w:val="both"/>
      </w:pPr>
      <w:r>
        <w:rPr>
          <w:rFonts w:ascii="Calibri" w:cs="Calibri" w:eastAsia="Calibri" w:hAnsi="Calibri"/>
          <w:color w:val="333333"/>
          <w:sz w:val="22"/>
          <w:szCs w:val="22"/>
        </w:rPr>
        <w:t xml:space="preserve">[Company Name] shall maintain a cash concentration structure that sweeps subsidiary and regional account balances to the central treasury account on a [daily] basis. The concentration structure minimizes idle cash in operating accounts, maximizes investment returns on pooled balances, and provides centralized visibility into the global cash position. Target operating account balances shall not exceed [threshold] unless approved by the Treasurer.</w:t>
      </w:r>
    </w:p>
    <w:p>
      <w:pPr>
        <w:pStyle w:val="Heading2"/>
        <w:spacing w:after="150" w:before="300"/>
      </w:pPr>
      <w:r>
        <w:rPr>
          <w:rFonts w:ascii="Georgia" w:cs="Georgia" w:eastAsia="Georgia" w:hAnsi="Georgia"/>
          <w:b/>
          <w:bCs/>
          <w:color w:val="333333"/>
          <w:sz w:val="26"/>
          <w:szCs w:val="26"/>
        </w:rPr>
        <w:t xml:space="preserve">3.4 Payment Controls</w:t>
      </w:r>
    </w:p>
    <w:p>
      <w:pPr>
        <w:spacing w:after="150" w:before="0"/>
        <w:jc w:val="both"/>
      </w:pPr>
      <w:r>
        <w:rPr>
          <w:rFonts w:ascii="Calibri" w:cs="Calibri" w:eastAsia="Calibri" w:hAnsi="Calibri"/>
          <w:color w:val="333333"/>
          <w:sz w:val="22"/>
          <w:szCs w:val="22"/>
        </w:rPr>
        <w:t xml:space="preserve">All cash disbursements shall comply with the Accounts Payable &amp; Disbursement Policy. Treasury-specific controls include: dual authorization for all wire transfers, positive pay on all check accounts, ACH debit blocks and filters on all accounts, daily reconciliation of all bank accounts, and real-time fraud monitoring through banking platforms.</w:t>
      </w:r>
    </w:p>
    <w:p>
      <w:pPr>
        <w:pStyle w:val="Heading2"/>
        <w:spacing w:after="150" w:before="300"/>
      </w:pPr>
      <w:r>
        <w:rPr>
          <w:rFonts w:ascii="Georgia" w:cs="Georgia" w:eastAsia="Georgia" w:hAnsi="Georgia"/>
          <w:b/>
          <w:bCs/>
          <w:color w:val="333333"/>
          <w:sz w:val="26"/>
          <w:szCs w:val="26"/>
        </w:rPr>
        <w:t xml:space="preserve">3.5 Segregation of Duties</w:t>
      </w:r>
    </w:p>
    <w:p>
      <w:pPr>
        <w:spacing w:after="150" w:before="0"/>
        <w:jc w:val="both"/>
      </w:pPr>
      <w:r>
        <w:rPr>
          <w:rFonts w:ascii="Calibri" w:cs="Calibri" w:eastAsia="Calibri" w:hAnsi="Calibri"/>
          <w:color w:val="333333"/>
          <w:sz w:val="22"/>
          <w:szCs w:val="22"/>
        </w:rPr>
        <w:t xml:space="preserve">The following treasury duties shall be segregated: payment initiation vs. payment approval vs. bank reconciliation. No individual shall have the ability to initiate and approve the same payment. Individuals responsible for bank reconciliation shall not have the ability to initiate payments. System access controls shall enforce these segregations.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CFO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Owns this policy. Approves the investment policy and risk parameters. Approves new banking relationships. Reviews the cash position weekly. Signs off on covenant compliance certificates.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Treasurer / VP Treasury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Manages daily cash operations. Executes the investment strategy. Maintains banking relationships. Manages the 13-week cash forecast. Oversees debt facility administration and FX hedging.</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Treasury Analyst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Prepares the daily cash position report. Processes intercompany funding transfers. Maintains the bank account register. Supports cash forecasting and investment trade execution.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Ensures accurate cash reporting in financial statements. Reviews bank reconciliations. Oversees cash flow statement preparation. Monitors compliance with accounting standards for cash classification.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 Manager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Coordinates payment timing with Treasury. Provides payment forecast for cash planning. Processes payment batches per the payment calendar.</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AR Manager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Provides collection forecast for cash planning. Accelerates collections per the AR policy. Reports large expected receipts to Treasury for investment planning.</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Maintains treasury management system and bank connectivity platforms. Ensures system security and availability. Supports disaster recovery for payment systems.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Internal Audit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Tests treasury controls annually. Reviews bank reconciliation timeliness and quality. Validates investment portfolio compliance with the investment policy.</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Daily Cash Management</w:t>
      </w:r>
    </w:p>
    <w:p>
      <w:pPr>
        <w:pStyle w:val="Heading3"/>
        <w:spacing w:after="100" w:before="200"/>
      </w:pPr>
      <w:r>
        <w:rPr>
          <w:rFonts w:ascii="Georgia" w:cs="Georgia" w:eastAsia="Georgia" w:hAnsi="Georgia"/>
          <w:b/>
          <w:bCs/>
          <w:color w:val="444444"/>
          <w:sz w:val="22"/>
          <w:szCs w:val="22"/>
        </w:rPr>
        <w:t xml:space="preserve">5.1.1 Daily Cash Position Report</w:t>
      </w:r>
    </w:p>
    <w:p>
      <w:pPr>
        <w:spacing w:after="150" w:before="0"/>
        <w:jc w:val="both"/>
      </w:pPr>
      <w:r>
        <w:rPr>
          <w:rFonts w:ascii="Calibri" w:cs="Calibri" w:eastAsia="Calibri" w:hAnsi="Calibri"/>
          <w:color w:val="333333"/>
          <w:sz w:val="22"/>
          <w:szCs w:val="22"/>
        </w:rPr>
        <w:t xml:space="preserve">The Treasury Analyst shall prepare the daily cash position report by [9:00 AM] each business day. The report shall include: opening balances for all accounts (domestic and international), expected inflows by source (customer receipts, investment maturities, facility draws), expected outflows by category (payroll, vendor payments, debt service, tax payments), and the projected closing position. The report shall be distributed to the Treasurer, CFO, and Controller.</w:t>
      </w:r>
    </w:p>
    <w:p>
      <w:pPr>
        <w:pStyle w:val="Heading3"/>
        <w:spacing w:after="100" w:before="200"/>
      </w:pPr>
      <w:r>
        <w:rPr>
          <w:rFonts w:ascii="Georgia" w:cs="Georgia" w:eastAsia="Georgia" w:hAnsi="Georgia"/>
          <w:b/>
          <w:bCs/>
          <w:color w:val="444444"/>
          <w:sz w:val="22"/>
          <w:szCs w:val="22"/>
        </w:rPr>
        <w:t xml:space="preserve">5.1.2 Cash Concentration and Sweeps</w:t>
      </w:r>
    </w:p>
    <w:p>
      <w:pPr>
        <w:spacing w:after="150" w:before="0"/>
        <w:jc w:val="both"/>
      </w:pPr>
      <w:r>
        <w:rPr>
          <w:rFonts w:ascii="Calibri" w:cs="Calibri" w:eastAsia="Calibri" w:hAnsi="Calibri"/>
          <w:color w:val="333333"/>
          <w:sz w:val="22"/>
          <w:szCs w:val="22"/>
        </w:rPr>
        <w:t xml:space="preserve">Automated zero-balance account (ZBA) sweeps shall transfer balances from operating accounts to the concentration account at end-of-day. Manual concentration transfers from non-ZBA accounts shall be initiated by the Treasury Analyst and approved by the Treasurer. International account balances shall be swept weekly (or more frequently if balances exceed [threshold]) with consideration for FX conversion costs.</w:t>
      </w:r>
    </w:p>
    <w:p>
      <w:pPr>
        <w:pStyle w:val="Heading3"/>
        <w:spacing w:after="100" w:before="200"/>
      </w:pPr>
      <w:r>
        <w:rPr>
          <w:rFonts w:ascii="Georgia" w:cs="Georgia" w:eastAsia="Georgia" w:hAnsi="Georgia"/>
          <w:b/>
          <w:bCs/>
          <w:color w:val="444444"/>
          <w:sz w:val="22"/>
          <w:szCs w:val="22"/>
        </w:rPr>
        <w:t xml:space="preserve">5.1.3 Intercompany Funding</w:t>
      </w:r>
    </w:p>
    <w:p>
      <w:pPr>
        <w:spacing w:after="150" w:before="0"/>
        <w:jc w:val="both"/>
      </w:pPr>
      <w:r>
        <w:rPr>
          <w:rFonts w:ascii="Calibri" w:cs="Calibri" w:eastAsia="Calibri" w:hAnsi="Calibri"/>
          <w:color w:val="333333"/>
          <w:sz w:val="22"/>
          <w:szCs w:val="22"/>
        </w:rPr>
        <w:t xml:space="preserve">Subsidiary funding requirements shall be communicated to Treasury at least [3] business days in advance for domestic transfers and [5] business days for international transfers. All intercompany loans and advances shall be documented per the Intercompany Transactions &amp; Transfer Pricing Policy with arm's-length interest rates. Treasury shall maintain a register of all outstanding intercompany balances.</w:t>
      </w:r>
    </w:p>
    <w:p>
      <w:pPr>
        <w:pStyle w:val="Heading2"/>
        <w:spacing w:after="150" w:before="300"/>
      </w:pPr>
      <w:r>
        <w:rPr>
          <w:rFonts w:ascii="Georgia" w:cs="Georgia" w:eastAsia="Georgia" w:hAnsi="Georgia"/>
          <w:b/>
          <w:bCs/>
          <w:color w:val="333333"/>
          <w:sz w:val="26"/>
          <w:szCs w:val="26"/>
        </w:rPr>
        <w:t xml:space="preserve">5.2 Cash Forecasting</w:t>
      </w:r>
    </w:p>
    <w:p>
      <w:pPr>
        <w:pStyle w:val="Heading3"/>
        <w:spacing w:after="100" w:before="200"/>
      </w:pPr>
      <w:r>
        <w:rPr>
          <w:rFonts w:ascii="Georgia" w:cs="Georgia" w:eastAsia="Georgia" w:hAnsi="Georgia"/>
          <w:b/>
          <w:bCs/>
          <w:color w:val="444444"/>
          <w:sz w:val="22"/>
          <w:szCs w:val="22"/>
        </w:rPr>
        <w:t xml:space="preserve">5.2.1 13-Week Rolling Cash Forecast</w:t>
      </w:r>
    </w:p>
    <w:p>
      <w:pPr>
        <w:spacing w:after="150" w:before="0"/>
        <w:jc w:val="both"/>
      </w:pPr>
      <w:r>
        <w:rPr>
          <w:rFonts w:ascii="Calibri" w:cs="Calibri" w:eastAsia="Calibri" w:hAnsi="Calibri"/>
          <w:color w:val="333333"/>
          <w:sz w:val="22"/>
          <w:szCs w:val="22"/>
        </w:rPr>
        <w:t xml:space="preserve">Treasury shall maintain a rolling 13-week direct-method cash forecast updated weekly. The forecast shall include: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Operating receipts: customer collections based on AR aging and historical payment patterns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Operating disbursements: payroll, vendor payments, rent, utilities, and other recurring outflows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Non-operating items: debt service, tax payments, capital expenditures, and investment activity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Facility activity: revolver draws and repayments, term loan amortization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Contingency items: known or probable one-time inflows and outflows</w:t>
      </w:r>
    </w:p>
    <w:p>
      <w:pPr>
        <w:pStyle w:val="Heading3"/>
        <w:spacing w:after="100" w:before="200"/>
      </w:pPr>
      <w:r>
        <w:rPr>
          <w:rFonts w:ascii="Georgia" w:cs="Georgia" w:eastAsia="Georgia" w:hAnsi="Georgia"/>
          <w:b/>
          <w:bCs/>
          <w:color w:val="444444"/>
          <w:sz w:val="22"/>
          <w:szCs w:val="22"/>
        </w:rPr>
        <w:t xml:space="preserve">5.2.2 Forecast Accuracy Tracking</w:t>
      </w:r>
    </w:p>
    <w:p>
      <w:pPr>
        <w:spacing w:after="150" w:before="0"/>
        <w:jc w:val="both"/>
      </w:pPr>
      <w:r>
        <w:rPr>
          <w:rFonts w:ascii="Calibri" w:cs="Calibri" w:eastAsia="Calibri" w:hAnsi="Calibri"/>
          <w:color w:val="333333"/>
          <w:sz w:val="22"/>
          <w:szCs w:val="22"/>
        </w:rPr>
        <w:t xml:space="preserve">Treasury shall track forecast accuracy by comparing projected vs. actual cash flows weekly. Variance analysis shall identify systematic bias (consistently over- or under-forecasting specific categories) and be used to improve future forecasts. The target forecast accuracy is [±5%] on a weekly basis and [±3%] on a monthly basis.</w:t>
      </w:r>
    </w:p>
    <w:p>
      <w:pPr>
        <w:pStyle w:val="Heading3"/>
        <w:spacing w:after="100" w:before="200"/>
      </w:pPr>
      <w:r>
        <w:rPr>
          <w:rFonts w:ascii="Georgia" w:cs="Georgia" w:eastAsia="Georgia" w:hAnsi="Georgia"/>
          <w:b/>
          <w:bCs/>
          <w:color w:val="444444"/>
          <w:sz w:val="22"/>
          <w:szCs w:val="22"/>
        </w:rPr>
        <w:t xml:space="preserve">5.2.3 Long-Range Cash Forecast</w:t>
      </w:r>
    </w:p>
    <w:p>
      <w:pPr>
        <w:spacing w:after="150" w:before="0"/>
        <w:jc w:val="both"/>
      </w:pPr>
      <w:r>
        <w:rPr>
          <w:rFonts w:ascii="Calibri" w:cs="Calibri" w:eastAsia="Calibri" w:hAnsi="Calibri"/>
          <w:color w:val="333333"/>
          <w:sz w:val="22"/>
          <w:szCs w:val="22"/>
        </w:rPr>
        <w:t xml:space="preserve">FP&amp;A shall prepare a 12-month cash forecast as part of the annual budget and rolling forecast process. The long-range forecast informs: capital allocation decisions, facility sizing, dividend capacity, and strategic investment timing. Treasury shall reconcile the short-range (13-week) and long-range (12-month) forecasts monthly.</w:t>
      </w:r>
    </w:p>
    <w:p>
      <w:pPr>
        <w:pStyle w:val="Heading2"/>
        <w:spacing w:after="150" w:before="300"/>
      </w:pPr>
      <w:r>
        <w:rPr>
          <w:rFonts w:ascii="Georgia" w:cs="Georgia" w:eastAsia="Georgia" w:hAnsi="Georgia"/>
          <w:b/>
          <w:bCs/>
          <w:color w:val="333333"/>
          <w:sz w:val="26"/>
          <w:szCs w:val="26"/>
        </w:rPr>
        <w:t xml:space="preserve">5.3 Investment Management</w:t>
      </w:r>
    </w:p>
    <w:p>
      <w:pPr>
        <w:pStyle w:val="Heading3"/>
        <w:spacing w:after="100" w:before="200"/>
      </w:pPr>
      <w:r>
        <w:rPr>
          <w:rFonts w:ascii="Georgia" w:cs="Georgia" w:eastAsia="Georgia" w:hAnsi="Georgia"/>
          <w:b/>
          <w:bCs/>
          <w:color w:val="444444"/>
          <w:sz w:val="22"/>
          <w:szCs w:val="22"/>
        </w:rPr>
        <w:t xml:space="preserve">5.3.1 Investment Policy Summary</w:t>
      </w:r>
    </w:p>
    <w:p>
      <w:pPr>
        <w:spacing w:after="150" w:before="0"/>
        <w:jc w:val="both"/>
      </w:pPr>
      <w:r>
        <w:rPr>
          <w:rFonts w:ascii="Calibri" w:cs="Calibri" w:eastAsia="Calibri" w:hAnsi="Calibri"/>
          <w:color w:val="333333"/>
          <w:sz w:val="22"/>
          <w:szCs w:val="22"/>
        </w:rPr>
        <w:t xml:space="preserve">[Company Name] shall invest surplus cash per the Investment Policy. Key parameters include: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Parameter</w:t>
            </w:r>
          </w:p>
        </w:tc>
        <w:tc>
          <w:tcPr>
            <w:tcW w:type="dxa" w:w="6160"/>
            <w:shd w:fill="0C0C0C" w:val="clear"/>
          </w:tcPr>
          <w:p>
            <w:pPr>
              <w:spacing w:after="60" w:before="60"/>
            </w:pPr>
            <w:r>
              <w:rPr>
                <w:rFonts w:ascii="Calibri" w:cs="Calibri" w:eastAsia="Calibri" w:hAnsi="Calibri"/>
                <w:b/>
                <w:bCs/>
                <w:color w:val="D4AF37"/>
                <w:sz w:val="20"/>
                <w:szCs w:val="20"/>
              </w:rPr>
              <w:t xml:space="preserve">Requirement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Primary objective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Preservation of capital</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Secondary objective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Maintenance of liquidity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Tertiary objective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Competitive return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Permitted instruments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US Treasury securities, agency securities, money market funds (government), commercial paper (A-1/P-1), bank deposits (FDIC insured), repurchase agreements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Maximum maturity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[12 months] for any single instrument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Concentration limit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No more than [10%] with any single non-government issuer</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Minimum credit quality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Short-term: A-1/P-1; Long-term: A/A2</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Prohibited instruments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Equities, derivatives (except FX hedges), structured products, auction rate securities</w:t>
            </w:r>
          </w:p>
        </w:tc>
      </w:tr>
    </w:tbl>
    <w:p>
      <w:pPr>
        <w:pStyle w:val="Heading3"/>
        <w:spacing w:after="100" w:before="200"/>
      </w:pPr>
      <w:r>
        <w:rPr>
          <w:rFonts w:ascii="Georgia" w:cs="Georgia" w:eastAsia="Georgia" w:hAnsi="Georgia"/>
          <w:b/>
          <w:bCs/>
          <w:color w:val="444444"/>
          <w:sz w:val="22"/>
          <w:szCs w:val="22"/>
        </w:rPr>
        <w:t xml:space="preserve">5.3.2 Investment Execution</w:t>
      </w:r>
    </w:p>
    <w:p>
      <w:pPr>
        <w:spacing w:after="150" w:before="0"/>
        <w:jc w:val="both"/>
      </w:pPr>
      <w:r>
        <w:rPr>
          <w:rFonts w:ascii="Calibri" w:cs="Calibri" w:eastAsia="Calibri" w:hAnsi="Calibri"/>
          <w:color w:val="333333"/>
          <w:sz w:val="22"/>
          <w:szCs w:val="22"/>
        </w:rPr>
        <w:t xml:space="preserve">Investment transactions shall be executed by the Treasurer or authorized Treasury Analyst. All trades exceeding [threshold] require dual authorization. Investment confirmations shall be reconciled to trade tickets daily. The investment portfolio shall be marked to market monthly and reported to the CFO.</w:t>
      </w:r>
    </w:p>
    <w:p>
      <w:pPr>
        <w:pStyle w:val="Heading2"/>
        <w:spacing w:after="150" w:before="300"/>
      </w:pPr>
      <w:r>
        <w:rPr>
          <w:rFonts w:ascii="Georgia" w:cs="Georgia" w:eastAsia="Georgia" w:hAnsi="Georgia"/>
          <w:b/>
          <w:bCs/>
          <w:color w:val="333333"/>
          <w:sz w:val="26"/>
          <w:szCs w:val="26"/>
        </w:rPr>
        <w:t xml:space="preserve">5.4 Debt Facility Management</w:t>
      </w:r>
    </w:p>
    <w:p>
      <w:pPr>
        <w:pStyle w:val="Heading3"/>
        <w:spacing w:after="100" w:before="200"/>
      </w:pPr>
      <w:r>
        <w:rPr>
          <w:rFonts w:ascii="Georgia" w:cs="Georgia" w:eastAsia="Georgia" w:hAnsi="Georgia"/>
          <w:b/>
          <w:bCs/>
          <w:color w:val="444444"/>
          <w:sz w:val="22"/>
          <w:szCs w:val="22"/>
        </w:rPr>
        <w:t xml:space="preserve">5.4.1 Borrowing Authorization</w:t>
      </w:r>
    </w:p>
    <w:p>
      <w:pPr>
        <w:spacing w:after="150" w:before="0"/>
        <w:jc w:val="both"/>
      </w:pPr>
      <w:r>
        <w:rPr>
          <w:rFonts w:ascii="Calibri" w:cs="Calibri" w:eastAsia="Calibri" w:hAnsi="Calibri"/>
          <w:color w:val="333333"/>
          <w:sz w:val="22"/>
          <w:szCs w:val="22"/>
        </w:rPr>
        <w:t xml:space="preserve">Draws on credit facilities (revolver, term loan, letter of credit) shall be authorized by the Treasurer with CFO notification for draws exceeding [threshold]. All borrowing shall comply with the credit agreement's conditions for borrowing, including compliance with financial covenants and absence of defaults.</w:t>
      </w:r>
    </w:p>
    <w:p>
      <w:pPr>
        <w:pStyle w:val="Heading3"/>
        <w:spacing w:after="100" w:before="200"/>
      </w:pPr>
      <w:r>
        <w:rPr>
          <w:rFonts w:ascii="Georgia" w:cs="Georgia" w:eastAsia="Georgia" w:hAnsi="Georgia"/>
          <w:b/>
          <w:bCs/>
          <w:color w:val="444444"/>
          <w:sz w:val="22"/>
          <w:szCs w:val="22"/>
        </w:rPr>
        <w:t xml:space="preserve">5.4.2 Debt Service</w:t>
      </w:r>
    </w:p>
    <w:p>
      <w:pPr>
        <w:spacing w:after="150" w:before="0"/>
        <w:jc w:val="both"/>
      </w:pPr>
      <w:r>
        <w:rPr>
          <w:rFonts w:ascii="Calibri" w:cs="Calibri" w:eastAsia="Calibri" w:hAnsi="Calibri"/>
          <w:color w:val="333333"/>
          <w:sz w:val="22"/>
          <w:szCs w:val="22"/>
        </w:rPr>
        <w:t xml:space="preserve">Treasury shall maintain a debt service calendar showing all scheduled payments: interest, principal amortization, commitment fees, and administrative agent fees. Payments shall be initiated at least [2] business days before the due date to ensure timely settlement. Late payments constitute a default event under most credit agreements.</w:t>
      </w:r>
    </w:p>
    <w:p>
      <w:pPr>
        <w:pStyle w:val="Heading3"/>
        <w:spacing w:after="100" w:before="200"/>
      </w:pPr>
      <w:r>
        <w:rPr>
          <w:rFonts w:ascii="Georgia" w:cs="Georgia" w:eastAsia="Georgia" w:hAnsi="Georgia"/>
          <w:b/>
          <w:bCs/>
          <w:color w:val="444444"/>
          <w:sz w:val="22"/>
          <w:szCs w:val="22"/>
        </w:rPr>
        <w:t xml:space="preserve">5.4.3 Covenant Monitoring</w:t>
      </w:r>
    </w:p>
    <w:p>
      <w:pPr>
        <w:spacing w:after="150" w:before="0"/>
        <w:jc w:val="both"/>
      </w:pPr>
      <w:r>
        <w:rPr>
          <w:rFonts w:ascii="Calibri" w:cs="Calibri" w:eastAsia="Calibri" w:hAnsi="Calibri"/>
          <w:color w:val="333333"/>
          <w:sz w:val="22"/>
          <w:szCs w:val="22"/>
        </w:rPr>
        <w:t xml:space="preserve">Treasury shall calculate and monitor all financial covenants monthly per the Debt &amp; Covenant Compliance Policy. Forward projections of covenant compliance shall be updated quarterly. Any projected covenant breach shall be immediately reported to the CFO for proactive lender engagement.</w:t>
      </w:r>
    </w:p>
    <w:p>
      <w:r>
        <w:br w:type="page"/>
      </w:r>
    </w:p>
    <w:p>
      <w:pPr>
        <w:pStyle w:val="Heading2"/>
        <w:spacing w:after="150" w:before="300"/>
      </w:pPr>
      <w:r>
        <w:rPr>
          <w:rFonts w:ascii="Georgia" w:cs="Georgia" w:eastAsia="Georgia" w:hAnsi="Georgia"/>
          <w:b/>
          <w:bCs/>
          <w:color w:val="333333"/>
          <w:sz w:val="26"/>
          <w:szCs w:val="26"/>
        </w:rPr>
        <w:t xml:space="preserve">5.5 Foreign Exchange Management</w:t>
      </w:r>
    </w:p>
    <w:p>
      <w:pPr>
        <w:pStyle w:val="Heading3"/>
        <w:spacing w:after="100" w:before="200"/>
      </w:pPr>
      <w:r>
        <w:rPr>
          <w:rFonts w:ascii="Georgia" w:cs="Georgia" w:eastAsia="Georgia" w:hAnsi="Georgia"/>
          <w:b/>
          <w:bCs/>
          <w:color w:val="444444"/>
          <w:sz w:val="22"/>
          <w:szCs w:val="22"/>
        </w:rPr>
        <w:t xml:space="preserve">5.5.1 FX Exposure Identification</w:t>
      </w:r>
    </w:p>
    <w:p>
      <w:pPr>
        <w:spacing w:after="150" w:before="0"/>
        <w:jc w:val="both"/>
      </w:pPr>
      <w:r>
        <w:rPr>
          <w:rFonts w:ascii="Calibri" w:cs="Calibri" w:eastAsia="Calibri" w:hAnsi="Calibri"/>
          <w:color w:val="333333"/>
          <w:sz w:val="22"/>
          <w:szCs w:val="22"/>
        </w:rPr>
        <w:t xml:space="preserve">Treasury shall identify and quantify foreign exchange exposures: transaction exposure (committed and forecasted foreign currency cash flows), translation exposure (foreign subsidiary financial statements), and economic exposure (competitive pricing impact). Exposure reports shall be updated monthly.</w:t>
      </w:r>
    </w:p>
    <w:p>
      <w:pPr>
        <w:pStyle w:val="Heading3"/>
        <w:spacing w:after="100" w:before="200"/>
      </w:pPr>
      <w:r>
        <w:rPr>
          <w:rFonts w:ascii="Georgia" w:cs="Georgia" w:eastAsia="Georgia" w:hAnsi="Georgia"/>
          <w:b/>
          <w:bCs/>
          <w:color w:val="444444"/>
          <w:sz w:val="22"/>
          <w:szCs w:val="22"/>
        </w:rPr>
        <w:t xml:space="preserve">5.5.2 Hedging Execution</w:t>
      </w:r>
    </w:p>
    <w:p>
      <w:pPr>
        <w:spacing w:after="150" w:before="0"/>
        <w:jc w:val="both"/>
      </w:pPr>
      <w:r>
        <w:rPr>
          <w:rFonts w:ascii="Calibri" w:cs="Calibri" w:eastAsia="Calibri" w:hAnsi="Calibri"/>
          <w:color w:val="333333"/>
          <w:sz w:val="22"/>
          <w:szCs w:val="22"/>
        </w:rPr>
        <w:t xml:space="preserve">FX hedging transactions shall be executed per the Foreign Currency Management Policy. Only Treasurer-authorized individuals may execute FX trades. All hedges shall be designated and documented for hedge accounting treatment under ASC 815 where applicable. Speculative FX trading is strictly prohibited.</w:t>
      </w:r>
    </w:p>
    <w:p>
      <w:pPr>
        <w:pStyle w:val="Heading3"/>
        <w:spacing w:after="100" w:before="200"/>
      </w:pPr>
      <w:r>
        <w:rPr>
          <w:rFonts w:ascii="Georgia" w:cs="Georgia" w:eastAsia="Georgia" w:hAnsi="Georgia"/>
          <w:b/>
          <w:bCs/>
          <w:color w:val="444444"/>
          <w:sz w:val="22"/>
          <w:szCs w:val="22"/>
        </w:rPr>
        <w:t xml:space="preserve">5.5.3 FX Settlement</w:t>
      </w:r>
    </w:p>
    <w:p>
      <w:pPr>
        <w:spacing w:after="150" w:before="0"/>
        <w:jc w:val="both"/>
      </w:pPr>
      <w:r>
        <w:rPr>
          <w:rFonts w:ascii="Calibri" w:cs="Calibri" w:eastAsia="Calibri" w:hAnsi="Calibri"/>
          <w:color w:val="333333"/>
          <w:sz w:val="22"/>
          <w:szCs w:val="22"/>
        </w:rPr>
        <w:t xml:space="preserve">FX transactions shall be settled through established banking counterparties with executed ISDA Master Agreements. Counterparty credit exposure shall be monitored monthly and diversified across at least [2] banking partners.</w:t>
      </w:r>
    </w:p>
    <w:p>
      <w:pPr>
        <w:pStyle w:val="Heading2"/>
        <w:spacing w:after="150" w:before="300"/>
      </w:pPr>
      <w:r>
        <w:rPr>
          <w:rFonts w:ascii="Georgia" w:cs="Georgia" w:eastAsia="Georgia" w:hAnsi="Georgia"/>
          <w:b/>
          <w:bCs/>
          <w:color w:val="333333"/>
          <w:sz w:val="26"/>
          <w:szCs w:val="26"/>
        </w:rPr>
        <w:t xml:space="preserve">5.6 Bank Relationship Management</w:t>
      </w:r>
    </w:p>
    <w:p>
      <w:pPr>
        <w:pStyle w:val="Heading3"/>
        <w:spacing w:after="100" w:before="200"/>
      </w:pPr>
      <w:r>
        <w:rPr>
          <w:rFonts w:ascii="Georgia" w:cs="Georgia" w:eastAsia="Georgia" w:hAnsi="Georgia"/>
          <w:b/>
          <w:bCs/>
          <w:color w:val="444444"/>
          <w:sz w:val="22"/>
          <w:szCs w:val="22"/>
        </w:rPr>
        <w:t xml:space="preserve">5.6.1 Banking Partner Selection</w:t>
      </w:r>
    </w:p>
    <w:p>
      <w:pPr>
        <w:spacing w:after="150" w:before="0"/>
        <w:jc w:val="both"/>
      </w:pPr>
      <w:r>
        <w:rPr>
          <w:rFonts w:ascii="Calibri" w:cs="Calibri" w:eastAsia="Calibri" w:hAnsi="Calibri"/>
          <w:color w:val="333333"/>
          <w:sz w:val="22"/>
          <w:szCs w:val="22"/>
        </w:rPr>
        <w:t xml:space="preserve">[Company Name] shall maintain banking relationships with institutions rated [A-] or higher by at least two major rating agencies. New banking relationships require CFO approval. The number of banking partners shall balance: service quality, fee competitiveness, facility capacity, and operational efficiency. An excessive number of banking partners creates operational complexity without benefit.</w:t>
      </w:r>
    </w:p>
    <w:p>
      <w:pPr>
        <w:pStyle w:val="Heading3"/>
        <w:spacing w:after="100" w:before="200"/>
      </w:pPr>
      <w:r>
        <w:rPr>
          <w:rFonts w:ascii="Georgia" w:cs="Georgia" w:eastAsia="Georgia" w:hAnsi="Georgia"/>
          <w:b/>
          <w:bCs/>
          <w:color w:val="444444"/>
          <w:sz w:val="22"/>
          <w:szCs w:val="22"/>
        </w:rPr>
        <w:t xml:space="preserve">5.6.2 Fee Analysis</w:t>
      </w:r>
    </w:p>
    <w:p>
      <w:pPr>
        <w:spacing w:after="150" w:before="0"/>
        <w:jc w:val="both"/>
      </w:pPr>
      <w:r>
        <w:rPr>
          <w:rFonts w:ascii="Calibri" w:cs="Calibri" w:eastAsia="Calibri" w:hAnsi="Calibri"/>
          <w:color w:val="333333"/>
          <w:sz w:val="22"/>
          <w:szCs w:val="22"/>
        </w:rPr>
        <w:t xml:space="preserve">Treasury shall conduct an annual analysis of banking fees across all relationships. The analysis shall compare: account maintenance fees, transaction fees (wire, ACH, check), cash management service fees, and credit facility fees against market benchmarks and competitive proposals. Fee negotiation opportunities shall be pursued during annual relationship reviews.</w:t>
      </w:r>
    </w:p>
    <w:p>
      <w:pPr>
        <w:pStyle w:val="Heading3"/>
        <w:spacing w:after="100" w:before="200"/>
      </w:pPr>
      <w:r>
        <w:rPr>
          <w:rFonts w:ascii="Georgia" w:cs="Georgia" w:eastAsia="Georgia" w:hAnsi="Georgia"/>
          <w:b/>
          <w:bCs/>
          <w:color w:val="444444"/>
          <w:sz w:val="22"/>
          <w:szCs w:val="22"/>
        </w:rPr>
        <w:t xml:space="preserve">5.6.3 Bank Account Reconciliation</w:t>
      </w:r>
    </w:p>
    <w:p>
      <w:pPr>
        <w:spacing w:after="150" w:before="0"/>
        <w:jc w:val="both"/>
      </w:pPr>
      <w:r>
        <w:rPr>
          <w:rFonts w:ascii="Calibri" w:cs="Calibri" w:eastAsia="Calibri" w:hAnsi="Calibri"/>
          <w:color w:val="333333"/>
          <w:sz w:val="22"/>
          <w:szCs w:val="22"/>
        </w:rPr>
        <w:t xml:space="preserve">All bank accounts shall be reconciled within [3] business days of month-end per the Financial Close &amp; Reporting Policy. Reconciling items older than [30] days require investigation and escalation. The Controller shall review bank reconciliations for all material accounts monthly.</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Activity</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Open/close bank account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Treasurer + CFO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Wire transfer (domestic)</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&lt; $250K</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Two authorized signatories</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Wire transfer (domestic)</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&gt; $250K</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Two signatories including Treasurer or CFO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Wire transfer (international)</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Treasurer + 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Investment purchase/sale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&lt; $5M</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Treasurer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Investment purchase/sale</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&gt; $5M</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Treasurer + 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Credit facility draw</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&lt; $5M</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Treasurer (CFO notification)</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Credit facility draw</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&gt; $5M</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Treasurer + 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FX hedge execution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&lt; $2M</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Treasurer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FX hedge execution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&gt; $2M</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Treasurer + 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New banking relationship</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Intercompany loan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Treasurer + Controller</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pStyle w:val="Heading2"/>
        <w:spacing w:after="150" w:before="300"/>
      </w:pPr>
      <w:r>
        <w:rPr>
          <w:rFonts w:ascii="Georgia" w:cs="Georgia" w:eastAsia="Georgia" w:hAnsi="Georgia"/>
          <w:b/>
          <w:bCs/>
          <w:color w:val="333333"/>
          <w:sz w:val="26"/>
          <w:szCs w:val="26"/>
        </w:rPr>
        <w:t xml:space="preserve">7.1 Liquidity Emergency</w:t>
      </w:r>
    </w:p>
    <w:p>
      <w:pPr>
        <w:spacing w:after="150" w:before="0"/>
        <w:jc w:val="both"/>
      </w:pPr>
      <w:r>
        <w:rPr>
          <w:rFonts w:ascii="Calibri" w:cs="Calibri" w:eastAsia="Calibri" w:hAnsi="Calibri"/>
          <w:color w:val="333333"/>
          <w:sz w:val="22"/>
          <w:szCs w:val="22"/>
        </w:rPr>
        <w:t xml:space="preserve">If the daily cash position report indicates that projected available cash (including undrawn facilities) will fall below [threshold] within the next [5] business days, the Treasurer shall immediately notify the CFO and initiate the Liquidity Contingency Plan. The contingency plan includes: accelerated collections, deferred non-critical payments, emergency facility draws, and if necessary, engagement with lenders for additional capacity.</w:t>
      </w:r>
    </w:p>
    <w:p>
      <w:pPr>
        <w:pStyle w:val="Heading2"/>
        <w:spacing w:after="150" w:before="300"/>
      </w:pPr>
      <w:r>
        <w:rPr>
          <w:rFonts w:ascii="Georgia" w:cs="Georgia" w:eastAsia="Georgia" w:hAnsi="Georgia"/>
          <w:b/>
          <w:bCs/>
          <w:color w:val="333333"/>
          <w:sz w:val="26"/>
          <w:szCs w:val="26"/>
        </w:rPr>
        <w:t xml:space="preserve">7.2 Investment Policy Exceptions</w:t>
      </w:r>
    </w:p>
    <w:p>
      <w:pPr>
        <w:spacing w:after="150" w:before="0"/>
        <w:jc w:val="both"/>
      </w:pPr>
      <w:r>
        <w:rPr>
          <w:rFonts w:ascii="Calibri" w:cs="Calibri" w:eastAsia="Calibri" w:hAnsi="Calibri"/>
          <w:color w:val="333333"/>
          <w:sz w:val="22"/>
          <w:szCs w:val="22"/>
        </w:rPr>
        <w:t xml:space="preserve">No investment shall be made outside the parameters of the Investment Policy without CFO and Audit Committee approval. If market conditions make compliant investments unavailable (e.g., zero/negative yields on permitted instruments), the Treasurer shall present alternative options to the CFO for approval.</w:t>
      </w:r>
    </w:p>
    <w:p>
      <w:pPr>
        <w:pStyle w:val="Heading2"/>
        <w:spacing w:after="150" w:before="300"/>
      </w:pPr>
      <w:r>
        <w:rPr>
          <w:rFonts w:ascii="Georgia" w:cs="Georgia" w:eastAsia="Georgia" w:hAnsi="Georgia"/>
          <w:b/>
          <w:bCs/>
          <w:color w:val="333333"/>
          <w:sz w:val="26"/>
          <w:szCs w:val="26"/>
        </w:rPr>
        <w:t xml:space="preserve">7.3 Escalation Protocol</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Treasury Analyst — daily operational issues, routine transactions, bank inquiries</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Treasurer — non-routine transactions, facility management, counterparty issues</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CFO — policy exceptions, new relationships, liquidity concerns, material FX exposure</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Board/Audit Committee — investment policy changes, new debt facilities, material covenant issues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pStyle w:val="Heading2"/>
        <w:spacing w:after="150" w:before="300"/>
      </w:pPr>
      <w:r>
        <w:rPr>
          <w:rFonts w:ascii="Georgia" w:cs="Georgia" w:eastAsia="Georgia" w:hAnsi="Georgia"/>
          <w:b/>
          <w:bCs/>
          <w:color w:val="333333"/>
          <w:sz w:val="26"/>
          <w:szCs w:val="26"/>
        </w:rPr>
        <w:t xml:space="preserve">8.1 Ongoing Monitoring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Daily cash position review by Treasurer</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Daily bank account fraud monitoring (positive pay, ACH filter exceptions)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Weekly 13-week cash forecast update and variance analysis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Monthly investment portfolio compliance review against policy limits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Monthly bank reconciliation completion within 3 business days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Monthly covenant ratio calculation and trend analysis</w:t>
      </w:r>
    </w:p>
    <w:p>
      <w:pPr>
        <w:pStyle w:val="Heading2"/>
        <w:spacing w:after="150" w:before="300"/>
      </w:pPr>
      <w:r>
        <w:rPr>
          <w:rFonts w:ascii="Georgia" w:cs="Georgia" w:eastAsia="Georgia" w:hAnsi="Georgia"/>
          <w:b/>
          <w:bCs/>
          <w:color w:val="333333"/>
          <w:sz w:val="26"/>
          <w:szCs w:val="26"/>
        </w:rPr>
        <w:t xml:space="preserve">8.2 Periodic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investment portfolio stress testing (interest rate, credit, liquidity scenarios)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internal audit of treasury controls and investment compliance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banking fee benchmarking and relationship review</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counterparty credit risk review</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Semi-annual disaster recovery testing for payment systems</w:t>
      </w:r>
    </w:p>
    <w:p>
      <w:pPr>
        <w:pStyle w:val="Heading2"/>
        <w:spacing w:after="150" w:before="300"/>
      </w:pPr>
      <w:r>
        <w:rPr>
          <w:rFonts w:ascii="Georgia" w:cs="Georgia" w:eastAsia="Georgia" w:hAnsi="Georgia"/>
          <w:b/>
          <w:bCs/>
          <w:color w:val="333333"/>
          <w:sz w:val="26"/>
          <w:szCs w:val="26"/>
        </w:rPr>
        <w:t xml:space="preserve">8.3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Daily cash position accuracy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±2% of actual</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13-week forecast accuracy (weekly)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±5%</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Bank reconciliation timeliness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&lt; 3 business days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Investment portfolio yield vs. benchmark</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Within 10 bps of benchmark</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Covenant compliance headroom</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 [15%] cushion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Unauthorized transaction incidents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Zero</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Payment fraud losses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Zero</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Bank Account Management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Investment Policy (detailed instrument-level guidelines)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Foreign Currency Management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Debt &amp; Covenant Compliance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Accounts Payable &amp; Disbursement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Accounts Receivable &amp; Credit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Financial Delegation of Authority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Business Continuity (Finance)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230, Statement of Cash Flows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305, Cash and Cash Equivalents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320, Investments — Debt Securities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815, Derivatives and Hedging</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Daily Cash Position Report Template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Line Item</w:t>
            </w:r>
          </w:p>
        </w:tc>
        <w:tc>
          <w:tcPr>
            <w:tcW w:type="dxa" w:w="6160"/>
            <w:shd w:fill="0C0C0C" w:val="clear"/>
          </w:tcPr>
          <w:p>
            <w:pPr>
              <w:spacing w:after="60" w:before="60"/>
            </w:pPr>
            <w:r>
              <w:rPr>
                <w:rFonts w:ascii="Calibri" w:cs="Calibri" w:eastAsia="Calibri" w:hAnsi="Calibri"/>
                <w:b/>
                <w:bCs/>
                <w:color w:val="D4AF37"/>
                <w:sz w:val="20"/>
                <w:szCs w:val="20"/>
              </w:rPr>
              <w:t xml:space="preserve">Amount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Opening cash balance (all accounts)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$___</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Add: Expected customer receipts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$___</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Add: Investment maturities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$___</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Add: Other inflows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$___</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Less: Payroll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($__)</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Less: Vendor payments (scheduled run)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($__)</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Less: Debt service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($__)</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Less: Tax payments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($__)</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Less: Other outflows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($__)</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Projected closing balance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$___</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Available revolver capacity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$___</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Total available liquidity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$___</w:t>
            </w:r>
          </w:p>
        </w:tc>
      </w:tr>
    </w:tbl>
    <w:p>
      <w:pPr>
        <w:pStyle w:val="Heading2"/>
        <w:spacing w:after="150" w:before="300"/>
      </w:pPr>
      <w:r>
        <w:rPr>
          <w:rFonts w:ascii="Georgia" w:cs="Georgia" w:eastAsia="Georgia" w:hAnsi="Georgia"/>
          <w:b/>
          <w:bCs/>
          <w:color w:val="333333"/>
          <w:sz w:val="26"/>
          <w:szCs w:val="26"/>
        </w:rPr>
        <w:t xml:space="preserve">Appendix B — Bank Account Register Template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Field</w:t>
            </w:r>
          </w:p>
        </w:tc>
        <w:tc>
          <w:tcPr>
            <w:tcW w:type="dxa" w:w="2400"/>
            <w:shd w:fill="0C0C0C" w:val="clear"/>
          </w:tcPr>
          <w:p>
            <w:pPr>
              <w:spacing w:after="60" w:before="60"/>
            </w:pPr>
            <w:r>
              <w:rPr>
                <w:rFonts w:ascii="Calibri" w:cs="Calibri" w:eastAsia="Calibri" w:hAnsi="Calibri"/>
                <w:b/>
                <w:bCs/>
                <w:color w:val="D4AF37"/>
                <w:sz w:val="20"/>
                <w:szCs w:val="20"/>
              </w:rPr>
              <w:t xml:space="preserve">Description</w:t>
            </w:r>
          </w:p>
        </w:tc>
        <w:tc>
          <w:tcPr>
            <w:tcW w:type="dxa" w:w="4560"/>
            <w:shd w:fill="0C0C0C" w:val="clear"/>
          </w:tcPr>
          <w:p>
            <w:pPr>
              <w:spacing w:after="60" w:before="60"/>
            </w:pPr>
            <w:r>
              <w:rPr>
                <w:rFonts w:ascii="Calibri" w:cs="Calibri" w:eastAsia="Calibri" w:hAnsi="Calibri"/>
                <w:b/>
                <w:bCs/>
                <w:color w:val="D4AF37"/>
                <w:sz w:val="20"/>
                <w:szCs w:val="20"/>
              </w:rPr>
              <w:t xml:space="preserve">Required</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Bank Name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Financial institution name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Yes</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Account Number</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Full account number (masked in reports)</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Yes</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Account Type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Operating, payroll, concentration, investment, escrow</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Yes</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Currency</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Account currency</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Yes</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Entity</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Legal entity that owns the account</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Yes</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Authorized Signatories</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Names with authority levels</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Yes</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Purpose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Business purpose of the account</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Yes</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Opened Date</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Date account was opened</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Yes</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Target Balance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Target operating balance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Yes</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Sweep Configuration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ZBA, target balance, or manual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Yes</w:t>
            </w:r>
          </w:p>
        </w:tc>
      </w:tr>
    </w:tbl>
    <w:p>
      <w:pPr>
        <w:pStyle w:val="Heading2"/>
        <w:spacing w:after="150" w:before="300"/>
      </w:pPr>
      <w:r>
        <w:rPr>
          <w:rFonts w:ascii="Georgia" w:cs="Georgia" w:eastAsia="Georgia" w:hAnsi="Georgia"/>
          <w:b/>
          <w:bCs/>
          <w:color w:val="333333"/>
          <w:sz w:val="26"/>
          <w:szCs w:val="26"/>
        </w:rPr>
        <w:t xml:space="preserve">Appendix C — Liquidity Contingency Plan</w:t>
      </w:r>
    </w:p>
    <w:p>
      <w:pPr>
        <w:spacing w:after="150" w:before="0"/>
        <w:jc w:val="both"/>
      </w:pPr>
      <w:r>
        <w:rPr>
          <w:rFonts w:ascii="Calibri" w:cs="Calibri" w:eastAsia="Calibri" w:hAnsi="Calibri"/>
          <w:color w:val="333333"/>
          <w:sz w:val="22"/>
          <w:szCs w:val="22"/>
        </w:rPr>
        <w:t xml:space="preserve">In the event of a liquidity shortfall, the following actions shall be taken in sequence:</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Accelerate collections — contact top 20 customers with past-due balances for immediate payment</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Defer non-critical payments — delay discretionary vendor payments by up to [10] business days</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Draw on revolving credit facility — up to the available commitment amount</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Liquidate short-term investments — sell investment portfolio positions, prioritizing most liquid instruments</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Engage lenders — request temporary covenant relief or additional borrowing capacity if needed</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Executive notification — CFO briefs the CEO and Board Chair on liquidity situation and recovery plan</w:t>
      </w:r>
    </w:p>
    <w:p>
      <w:pPr>
        <w:pStyle w:val="Heading2"/>
        <w:spacing w:after="150" w:before="300"/>
      </w:pPr>
      <w:r>
        <w:rPr>
          <w:rFonts w:ascii="Georgia" w:cs="Georgia" w:eastAsia="Georgia" w:hAnsi="Georgia"/>
          <w:b/>
          <w:bCs/>
          <w:color w:val="333333"/>
          <w:sz w:val="26"/>
          <w:szCs w:val="26"/>
        </w:rPr>
        <w:t xml:space="preserve">Appendix D — Fraud Prevention Controls Summary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Positive pay on all check disbursement accounts — transmitted daily before check clearing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ACH debit block and filter — only pre-authorized originators permitted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Dual authorization on all wire transfers above [threshold]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Daily bank account monitoring for unauthorized transactions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Payee positive pay — validates payee name in addition to check number and amount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Out-of-band verification for all bank detail changes (callback to known number)</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IP address restrictions on online banking platforms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Multi-factor authentication required for all treasury system access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Session timeout after [15] minutes of inactivity on banking platforms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11. Cash Forecasting Framework</w:t>
      </w:r>
    </w:p>
    <w:p>
      <w:pPr>
        <w:pStyle w:val="Heading2"/>
        <w:spacing w:after="150" w:before="300"/>
      </w:pPr>
      <w:r>
        <w:rPr>
          <w:rFonts w:ascii="Georgia" w:cs="Georgia" w:eastAsia="Georgia" w:hAnsi="Georgia"/>
          <w:b/>
          <w:bCs/>
          <w:color w:val="333333"/>
          <w:sz w:val="26"/>
          <w:szCs w:val="26"/>
        </w:rPr>
        <w:t xml:space="preserve">11.1 Short-Term Cash Forecast (13-Week)</w:t>
      </w:r>
    </w:p>
    <w:p>
      <w:pPr>
        <w:spacing w:after="150" w:before="0"/>
        <w:jc w:val="both"/>
      </w:pPr>
      <w:r>
        <w:rPr>
          <w:rFonts w:ascii="Calibri" w:cs="Calibri" w:eastAsia="Calibri" w:hAnsi="Calibri"/>
          <w:color w:val="333333"/>
          <w:sz w:val="22"/>
          <w:szCs w:val="22"/>
        </w:rPr>
        <w:t xml:space="preserve">Treasury shall maintain a rolling 13-week cash flow forecast updated weekly. The forecast shall be built from the bottom up using: scheduled receipts from AR (based on customer payment patterns), scheduled disbursements from AP (based on payment run calendar), payroll obligations by pay period, debt service payments, tax payment obligations, and capital expenditure commitments. Variance analysis between forecasted and actual cash flows shall be performed weekly and reviewed by the CFO monthly.</w:t>
      </w:r>
    </w:p>
    <w:p>
      <w:pPr>
        <w:pStyle w:val="Heading2"/>
        <w:spacing w:after="150" w:before="300"/>
      </w:pPr>
      <w:r>
        <w:rPr>
          <w:rFonts w:ascii="Georgia" w:cs="Georgia" w:eastAsia="Georgia" w:hAnsi="Georgia"/>
          <w:b/>
          <w:bCs/>
          <w:color w:val="333333"/>
          <w:sz w:val="26"/>
          <w:szCs w:val="26"/>
        </w:rPr>
        <w:t xml:space="preserve">11.2 Medium-Term Cash Forecast (12-Month)</w:t>
      </w:r>
    </w:p>
    <w:p>
      <w:pPr>
        <w:spacing w:after="150" w:before="0"/>
        <w:jc w:val="both"/>
      </w:pPr>
      <w:r>
        <w:rPr>
          <w:rFonts w:ascii="Calibri" w:cs="Calibri" w:eastAsia="Calibri" w:hAnsi="Calibri"/>
          <w:color w:val="333333"/>
          <w:sz w:val="22"/>
          <w:szCs w:val="22"/>
        </w:rPr>
        <w:t xml:space="preserve">FP&amp;A shall maintain a rolling 12-month cash forecast derived from the operating budget and updated monthly. The medium-term forecast captures: seasonal revenue patterns and their impact on collections, large planned expenditures (annual insurance, bonus payments, tax installments), planned capital expenditures and their financing, debt maturities and refinancing requirements, and potential M&amp;A activity cash impacts. The medium-term forecast shall be reconciled to the 13-week forecast at the overlap point.</w:t>
      </w:r>
    </w:p>
    <w:p>
      <w:pPr>
        <w:pStyle w:val="Heading2"/>
        <w:spacing w:after="150" w:before="300"/>
      </w:pPr>
      <w:r>
        <w:rPr>
          <w:rFonts w:ascii="Georgia" w:cs="Georgia" w:eastAsia="Georgia" w:hAnsi="Georgia"/>
          <w:b/>
          <w:bCs/>
          <w:color w:val="333333"/>
          <w:sz w:val="26"/>
          <w:szCs w:val="26"/>
        </w:rPr>
        <w:t xml:space="preserve">11.3 Scenario Analysis</w:t>
      </w:r>
    </w:p>
    <w:p>
      <w:pPr>
        <w:spacing w:after="150" w:before="0"/>
        <w:jc w:val="both"/>
      </w:pPr>
      <w:r>
        <w:rPr>
          <w:rFonts w:ascii="Calibri" w:cs="Calibri" w:eastAsia="Calibri" w:hAnsi="Calibri"/>
          <w:color w:val="333333"/>
          <w:sz w:val="22"/>
          <w:szCs w:val="22"/>
        </w:rPr>
        <w:t xml:space="preserve">Treasury shall maintain at least three cash forecast scenarios: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Base case — most likely outcome based on current business trajectory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Downside case — revenue decline of [15-25%] with delayed collections and restricted access to credit facilities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Severe stress case — revenue decline of [40%+] simulating a major economic downturn or business disruption</w:t>
      </w:r>
    </w:p>
    <w:p>
      <w:pPr>
        <w:spacing w:after="150" w:before="0"/>
        <w:jc w:val="both"/>
      </w:pPr>
      <w:r>
        <w:rPr>
          <w:rFonts w:ascii="Calibri" w:cs="Calibri" w:eastAsia="Calibri" w:hAnsi="Calibri"/>
          <w:color w:val="333333"/>
          <w:sz w:val="22"/>
          <w:szCs w:val="22"/>
        </w:rPr>
        <w:t xml:space="preserve">Scenario analysis shall be updated quarterly and presented to the CFO and board risk committee. The downside and stress scenarios shall inform minimum liquidity requirements and credit facility sizing.</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12. Investment Management</w:t>
      </w:r>
    </w:p>
    <w:p>
      <w:pPr>
        <w:pStyle w:val="Heading2"/>
        <w:spacing w:after="150" w:before="300"/>
      </w:pPr>
      <w:r>
        <w:rPr>
          <w:rFonts w:ascii="Georgia" w:cs="Georgia" w:eastAsia="Georgia" w:hAnsi="Georgia"/>
          <w:b/>
          <w:bCs/>
          <w:color w:val="333333"/>
          <w:sz w:val="26"/>
          <w:szCs w:val="26"/>
        </w:rPr>
        <w:t xml:space="preserve">12.1 Short-Term Investment Policy</w:t>
      </w:r>
    </w:p>
    <w:p>
      <w:pPr>
        <w:spacing w:after="150" w:before="0"/>
        <w:jc w:val="both"/>
      </w:pPr>
      <w:r>
        <w:rPr>
          <w:rFonts w:ascii="Calibri" w:cs="Calibri" w:eastAsia="Calibri" w:hAnsi="Calibri"/>
          <w:color w:val="333333"/>
          <w:sz w:val="22"/>
          <w:szCs w:val="22"/>
        </w:rPr>
        <w:t xml:space="preserve">Excess cash not required for near-term operations shall be invested per the approved investment policy. Permitted short-term investments include: money market funds (government or prime), US Treasury bills and notes (maturity &lt; 12 months), commercial paper (A-1/P-1 rated, maturity &lt; 90 days), certificates of deposit (FDIC-insured institutions), and repurchase agreements (US Treasury collateral). Maximum concentration per counterparty shall not exceed [10%] of total short-term investments.</w:t>
      </w:r>
    </w:p>
    <w:p>
      <w:pPr>
        <w:pStyle w:val="Heading2"/>
        <w:spacing w:after="150" w:before="300"/>
      </w:pPr>
      <w:r>
        <w:rPr>
          <w:rFonts w:ascii="Georgia" w:cs="Georgia" w:eastAsia="Georgia" w:hAnsi="Georgia"/>
          <w:b/>
          <w:bCs/>
          <w:color w:val="333333"/>
          <w:sz w:val="26"/>
          <w:szCs w:val="26"/>
        </w:rPr>
        <w:t xml:space="preserve">12.2 Investment Reporting</w:t>
      </w:r>
    </w:p>
    <w:p>
      <w:pPr>
        <w:spacing w:after="150" w:before="0"/>
        <w:jc w:val="both"/>
      </w:pPr>
      <w:r>
        <w:rPr>
          <w:rFonts w:ascii="Calibri" w:cs="Calibri" w:eastAsia="Calibri" w:hAnsi="Calibri"/>
          <w:color w:val="333333"/>
          <w:sz w:val="22"/>
          <w:szCs w:val="22"/>
        </w:rPr>
        <w:t xml:space="preserve">Treasury shall provide a monthly investment portfolio report including: total invested balance by instrument type, weighted average yield, weighted average maturity, counterparty exposure, compliance with investment policy limits, and month-over-month changes. The investment report shall be reviewed by the Controller and included in the monthly management package.</w:t>
      </w:r>
    </w:p>
    <w:p>
      <w:pPr>
        <w:pStyle w:val="Heading2"/>
        <w:spacing w:after="150" w:before="300"/>
      </w:pPr>
      <w:r>
        <w:rPr>
          <w:rFonts w:ascii="Georgia" w:cs="Georgia" w:eastAsia="Georgia" w:hAnsi="Georgia"/>
          <w:b/>
          <w:bCs/>
          <w:color w:val="333333"/>
          <w:sz w:val="26"/>
          <w:szCs w:val="26"/>
        </w:rPr>
        <w:t xml:space="preserve">12.3 Intercompany Cash Management</w:t>
      </w:r>
    </w:p>
    <w:p>
      <w:pPr>
        <w:spacing w:after="150" w:before="0"/>
        <w:jc w:val="both"/>
      </w:pPr>
      <w:r>
        <w:rPr>
          <w:rFonts w:ascii="Calibri" w:cs="Calibri" w:eastAsia="Calibri" w:hAnsi="Calibri"/>
          <w:color w:val="333333"/>
          <w:sz w:val="22"/>
          <w:szCs w:val="22"/>
        </w:rPr>
        <w:t xml:space="preserve">Cash pooling or intercompany lending arrangements shall be documented in formal intercompany loan agreements with arm's-length interest rates. Intercompany cash transfers shall comply with the Transfer Pricing Policy and local regulatory requirements. Treasury shall maintain a daily intercompany balance report and ensure all balances are reconciled monthly.</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13. Treasury Controls and Risk Management</w:t>
      </w:r>
    </w:p>
    <w:p>
      <w:pPr>
        <w:pStyle w:val="Heading2"/>
        <w:spacing w:after="150" w:before="300"/>
      </w:pPr>
      <w:r>
        <w:rPr>
          <w:rFonts w:ascii="Georgia" w:cs="Georgia" w:eastAsia="Georgia" w:hAnsi="Georgia"/>
          <w:b/>
          <w:bCs/>
          <w:color w:val="333333"/>
          <w:sz w:val="26"/>
          <w:szCs w:val="26"/>
        </w:rPr>
        <w:t xml:space="preserve">13.1 Counterparty Risk Management</w:t>
      </w:r>
    </w:p>
    <w:p>
      <w:pPr>
        <w:spacing w:after="150" w:before="0"/>
        <w:jc w:val="both"/>
      </w:pPr>
      <w:r>
        <w:rPr>
          <w:rFonts w:ascii="Calibri" w:cs="Calibri" w:eastAsia="Calibri" w:hAnsi="Calibri"/>
          <w:color w:val="333333"/>
          <w:sz w:val="22"/>
          <w:szCs w:val="22"/>
        </w:rPr>
        <w:t xml:space="preserve">[Company Name] shall diversify banking relationships to avoid excessive concentration with any single financial institution. No more than [40%] of total cash and investments shall be held with a single bank or financial institution. Counterparty credit quality shall be monitored quarterly using bank credit ratings, CDS spreads, and regulatory capital ratios.</w:t>
      </w:r>
    </w:p>
    <w:p>
      <w:pPr>
        <w:pStyle w:val="Heading2"/>
        <w:spacing w:after="150" w:before="300"/>
      </w:pPr>
      <w:r>
        <w:rPr>
          <w:rFonts w:ascii="Georgia" w:cs="Georgia" w:eastAsia="Georgia" w:hAnsi="Georgia"/>
          <w:b/>
          <w:bCs/>
          <w:color w:val="333333"/>
          <w:sz w:val="26"/>
          <w:szCs w:val="26"/>
        </w:rPr>
        <w:t xml:space="preserve">13.2 Cash Handling Controls</w:t>
      </w:r>
    </w:p>
    <w:p>
      <w:pPr>
        <w:spacing w:after="150" w:before="0"/>
        <w:jc w:val="both"/>
      </w:pPr>
      <w:r>
        <w:rPr>
          <w:rFonts w:ascii="Calibri" w:cs="Calibri" w:eastAsia="Calibri" w:hAnsi="Calibri"/>
          <w:color w:val="333333"/>
          <w:sz w:val="22"/>
          <w:szCs w:val="22"/>
        </w:rPr>
        <w:t xml:space="preserve">Physical cash handling (if applicable) shall be subject to the following controls: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Dual custody for all cash counting and deposits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Daily reconciliation of cash registers or collection points to deposit records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Segregation of cash handling from cash recording duties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Surprise cash counts performed quarterly by Internal Audit or the Controller</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Armored car service for deposits exceeding [threshold]</w:t>
      </w:r>
    </w:p>
    <w:p>
      <w:pPr>
        <w:pStyle w:val="Heading2"/>
        <w:spacing w:after="150" w:before="300"/>
      </w:pPr>
      <w:r>
        <w:rPr>
          <w:rFonts w:ascii="Georgia" w:cs="Georgia" w:eastAsia="Georgia" w:hAnsi="Georgia"/>
          <w:b/>
          <w:bCs/>
          <w:color w:val="333333"/>
          <w:sz w:val="26"/>
          <w:szCs w:val="26"/>
        </w:rPr>
        <w:t xml:space="preserve">13.3 Treasury Technology</w:t>
      </w:r>
    </w:p>
    <w:p>
      <w:pPr>
        <w:spacing w:after="150" w:before="0"/>
        <w:jc w:val="both"/>
      </w:pPr>
      <w:r>
        <w:rPr>
          <w:rFonts w:ascii="Calibri" w:cs="Calibri" w:eastAsia="Calibri" w:hAnsi="Calibri"/>
          <w:color w:val="333333"/>
          <w:sz w:val="22"/>
          <w:szCs w:val="22"/>
        </w:rPr>
        <w:t xml:space="preserve">Treasury operations shall be supported by a treasury management system (TMS) or the treasury module of the ERP. The system shall provide: bank connectivity for automated bank statement retrieval, payment processing and approval workflow, cash position reporting and forecasting, debt and investment portfolio tracking, and bank fee analysis. System access shall follow the principle of least privilege with quarterly access reviews.</w:t>
      </w:r>
    </w:p>
    <w:p>
      <w:pPr>
        <w:pStyle w:val="Heading2"/>
        <w:spacing w:after="150" w:before="300"/>
      </w:pPr>
      <w:r>
        <w:rPr>
          <w:rFonts w:ascii="Georgia" w:cs="Georgia" w:eastAsia="Georgia" w:hAnsi="Georgia"/>
          <w:b/>
          <w:bCs/>
          <w:color w:val="333333"/>
          <w:sz w:val="26"/>
          <w:szCs w:val="26"/>
        </w:rPr>
        <w:t xml:space="preserve">13.4 Insurance Coverage</w:t>
      </w:r>
    </w:p>
    <w:p>
      <w:pPr>
        <w:spacing w:after="150" w:before="0"/>
        <w:jc w:val="both"/>
      </w:pPr>
      <w:r>
        <w:rPr>
          <w:rFonts w:ascii="Calibri" w:cs="Calibri" w:eastAsia="Calibri" w:hAnsi="Calibri"/>
          <w:color w:val="333333"/>
          <w:sz w:val="22"/>
          <w:szCs w:val="22"/>
        </w:rPr>
        <w:t xml:space="preserve">Treasury shall ensure adequate insurance coverage for cash-related risks including: employee dishonesty / fidelity bond, computer fraud / funds transfer fraud, forgery or alteration of financial instruments, and cyber liability covering unauthorized electronic fund transfers. Coverage levels shall be reviewed annually with the Insurance &amp; Risk Management Policy owner.</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Cash &amp; Treasury Management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2026-07-13T07:06:53.441Z</dcterms:created>
  <dcterms:modified xsi:type="dcterms:W3CDTF">2026-07-13T07:06:53.441Z</dcterms:modified>
</cp:coreProperties>
</file>

<file path=docProps/custom.xml><?xml version="1.0" encoding="utf-8"?>
<Properties xmlns="http://schemas.openxmlformats.org/officeDocument/2006/custom-properties" xmlns:vt="http://schemas.openxmlformats.org/officeDocument/2006/docPropsVTypes"/>
</file>