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0"/>
      </w:pPr>
    </w:p>
    <w:p>
      <w:pPr>
        <w:spacing w:after="200"/>
        <w:jc w:val="center"/>
      </w:pPr>
      <w:r>
        <w:rPr>
          <w:rFonts w:ascii="Georgia" w:cs="Georgia" w:eastAsia="Georgia" w:hAnsi="Georgia"/>
          <w:b/>
          <w:bCs/>
          <w:color w:val="D4AF37"/>
          <w:sz w:val="56"/>
          <w:szCs w:val="56"/>
        </w:rPr>
        <w:t xml:space="preserve">EFuturesCFO</w:t>
      </w:r>
    </w:p>
    <w:p>
      <w:pPr>
        <w:spacing w:after="100"/>
        <w:jc w:val="center"/>
      </w:pPr>
      <w:r>
        <w:rPr>
          <w:rFonts w:ascii="Calibri" w:cs="Calibri" w:eastAsia="Calibri" w:hAnsi="Calibri"/>
          <w:color w:val="9CA3AF"/>
          <w:sz w:val="24"/>
          <w:szCs w:val="24"/>
        </w:rPr>
        <w:t xml:space="preserve">Executive Decision Tools</w:t>
      </w:r>
    </w:p>
    <w:p>
      <w:pPr>
        <w:pBdr>
          <w:bottom w:val="single" w:color="D4AF37" w:sz="6"/>
        </w:pBdr>
        <w:spacing w:after="600"/>
        <w:jc w:val="center"/>
      </w:pPr>
      <w:r>
        <w:rPr>
          <w:sz w:val="12"/>
          <w:szCs w:val="12"/>
        </w:rPr>
        <w:t xml:space="preserve"> </w:t>
      </w:r>
    </w:p>
    <w:p>
      <w:pPr>
        <w:spacing w:after="400"/>
      </w:pPr>
    </w:p>
    <w:p>
      <w:pPr>
        <w:spacing w:after="200"/>
        <w:jc w:val="center"/>
      </w:pPr>
      <w:r>
        <w:rPr>
          <w:rFonts w:ascii="Georgia" w:cs="Georgia" w:eastAsia="Georgia" w:hAnsi="Georgia"/>
          <w:b/>
          <w:bCs/>
          <w:color w:val="0C0C0C"/>
          <w:sz w:val="48"/>
          <w:szCs w:val="48"/>
        </w:rPr>
        <w:t xml:space="preserve">General Ledger &amp; Journal Entry Policy</w:t>
      </w:r>
    </w:p>
    <w:p>
      <w:pPr>
        <w:spacing w:after="200"/>
        <w:jc w:val="center"/>
      </w:pPr>
      <w:r>
        <w:rPr>
          <w:rFonts w:ascii="Calibri" w:cs="Calibri" w:eastAsia="Calibri" w:hAnsi="Calibri"/>
          <w:color w:val="666666"/>
          <w:sz w:val="28"/>
          <w:szCs w:val="28"/>
        </w:rPr>
        <w:t xml:space="preserve">Policy &amp; Procedures Manual</w:t>
      </w:r>
    </w:p>
    <w:p>
      <w:pPr>
        <w:spacing w:after="2000"/>
      </w:pPr>
    </w:p>
    <w:p>
      <w:pPr>
        <w:spacing w:after="100"/>
        <w:jc w:val="center"/>
      </w:pPr>
      <w:r>
        <w:rPr>
          <w:rFonts w:ascii="Calibri" w:cs="Calibri" w:eastAsia="Calibri" w:hAnsi="Calibri"/>
          <w:b/>
          <w:bCs/>
          <w:color w:val="0C0C0C"/>
          <w:sz w:val="28"/>
          <w:szCs w:val="28"/>
        </w:rPr>
        <w:t xml:space="preserve">[Company Name]</w:t>
      </w:r>
    </w:p>
    <w:p>
      <w:pPr>
        <w:spacing w:after="100"/>
        <w:jc w:val="center"/>
      </w:pPr>
      <w:r>
        <w:rPr>
          <w:rFonts w:ascii="Calibri" w:cs="Calibri" w:eastAsia="Calibri" w:hAnsi="Calibri"/>
          <w:color w:val="9CA3AF"/>
          <w:sz w:val="22"/>
          <w:szCs w:val="22"/>
        </w:rPr>
        <w:t xml:space="preserve">Policy Document — Confidential</w:t>
      </w:r>
    </w:p>
    <w:p>
      <w:pPr>
        <w:spacing w:after="100"/>
        <w:jc w:val="center"/>
      </w:pPr>
      <w:r>
        <w:rPr>
          <w:rFonts w:ascii="Calibri" w:cs="Calibri" w:eastAsia="Calibri" w:hAnsi="Calibri"/>
          <w:color w:val="9CA3AF"/>
          <w:sz w:val="20"/>
          <w:szCs w:val="20"/>
        </w:rPr>
        <w:t xml:space="preserve">Effective Date: [Date]  |  Version: 1.0</w:t>
      </w:r>
    </w:p>
    <w:p>
      <w:pPr>
        <w:spacing w:after="100"/>
        <w:jc w:val="center"/>
      </w:pPr>
      <w:r>
        <w:rPr>
          <w:rFonts w:ascii="Calibri" w:cs="Calibri" w:eastAsia="Calibri" w:hAnsi="Calibri"/>
          <w:color w:val="9CA3AF"/>
          <w:sz w:val="20"/>
          <w:szCs w:val="20"/>
        </w:rPr>
        <w:t xml:space="preserve">Owner: [Policy Owner Title]  |  Approved by: [CFO Name]</w:t>
      </w:r>
    </w:p>
    <w:p>
      <w:r>
        <w:br w:type="page"/>
      </w:r>
    </w:p>
    <w:p>
      <w:pPr>
        <w:pStyle w:val="Heading1"/>
        <w:spacing w:after="300"/>
      </w:pPr>
      <w:r>
        <w:rPr>
          <w:rFonts w:ascii="Georgia" w:cs="Georgia" w:eastAsia="Georgia" w:hAnsi="Georgia"/>
          <w:b/>
          <w:bCs/>
          <w:color w:val="0C0C0C"/>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 Purpose &amp; Scope</w:t>
      </w:r>
    </w:p>
    <w:p>
      <w:pPr>
        <w:spacing w:after="150" w:before="0"/>
        <w:jc w:val="both"/>
      </w:pPr>
      <w:r>
        <w:rPr>
          <w:rFonts w:ascii="Calibri" w:cs="Calibri" w:eastAsia="Calibri" w:hAnsi="Calibri"/>
          <w:color w:val="333333"/>
          <w:sz w:val="22"/>
          <w:szCs w:val="22"/>
        </w:rPr>
        <w:t xml:space="preserve">This General Ledger and Journal Entry Policy establishes the standards, controls, and procedures governing how [Company Name] maintains the general ledger, processes journal entries, and ensures the integrity of the financial records that form the basis for all financial reporting. The policy addresses the chart of accounts, journal entry initiation and approval, recurring entries, manual adjustments, and period-end closing entries.</w:t>
      </w:r>
    </w:p>
    <w:p>
      <w:pPr>
        <w:spacing w:after="150" w:before="0"/>
        <w:jc w:val="both"/>
      </w:pPr>
      <w:r>
        <w:rPr>
          <w:rFonts w:ascii="Calibri" w:cs="Calibri" w:eastAsia="Calibri" w:hAnsi="Calibri"/>
          <w:color w:val="333333"/>
          <w:sz w:val="22"/>
          <w:szCs w:val="22"/>
        </w:rPr>
        <w:t xml:space="preserve">This policy applies to all journal entries recorded in the general ledger of [Company Name] and its consolidated subsidiaries, regardless of source: automated system postings, sub-ledger feeds, manual journal entries, consolidation adjustments, and topside entries.</w:t>
      </w:r>
    </w:p>
    <w:p>
      <w:pPr>
        <w:pStyle w:val="Heading2"/>
        <w:spacing w:after="150" w:before="300"/>
      </w:pPr>
      <w:r>
        <w:rPr>
          <w:rFonts w:ascii="Georgia" w:cs="Georgia" w:eastAsia="Georgia" w:hAnsi="Georgia"/>
          <w:b/>
          <w:bCs/>
          <w:color w:val="333333"/>
          <w:sz w:val="26"/>
          <w:szCs w:val="26"/>
        </w:rPr>
        <w:t xml:space="preserve">1.1 Objectives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Maintain a complete, accurate, and up-to-date general ledger that serves as the authoritative source of financial data</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Ensure all journal entries are properly authorized, documented, and recorded in the correct period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Prevent unauthorized, erroneous, or fraudulent journal entries through effective controls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Maintain a standardized chart of accounts that supports operational, management, and external reporting needs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Support SOX compliance through documented controls over journal entry initiation, review, and approval</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Enable efficient financial close through standardized procedures and automated recurring entries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2. Definitions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Term</w:t>
            </w:r>
          </w:p>
        </w:tc>
        <w:tc>
          <w:tcPr>
            <w:tcW w:type="dxa" w:w="6160"/>
            <w:shd w:fill="0C0C0C" w:val="clear"/>
          </w:tcPr>
          <w:p>
            <w:pPr>
              <w:spacing w:after="60" w:before="60"/>
            </w:pPr>
            <w:r>
              <w:rPr>
                <w:rFonts w:ascii="Calibri" w:cs="Calibri" w:eastAsia="Calibri" w:hAnsi="Calibri"/>
                <w:b/>
                <w:bCs/>
                <w:color w:val="D4AF37"/>
                <w:sz w:val="20"/>
                <w:szCs w:val="20"/>
              </w:rPr>
              <w:t xml:space="preserve">Definition</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General Ledger (GL)</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The master accounting record containing all financial transactions of [Company Name], organized by chart of accounts.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Chart of Accounts (COA)</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The structured list of all GL accounts used to record transactions, organized by financial statement line item.</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Standard Journal Entry (SJE)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A recurring entry that is substantially the same each period (e.g., depreciation, amortization, rent).</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Manual Journal Entry (MJE)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A non-automated entry requiring human initiation, typically for accruals, adjustments, and reclassifications.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Topside Entry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A consolidation-level adjustment not recorded in entity-level sub-ledgers.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Reversing Entry</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An entry that automatically reverses in the subsequent period, typically used for accruals.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Intercompany Entry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A journal entry recording a transaction between two or more entities within [Company Name].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Supporting Documentation</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The evidence that substantiates a journal entry: calculations, invoices, contracts, approvals, or other source documents.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Posting Period</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The accounting period (month, quarter, year) to which a journal entry is recorded.</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Closing Entry</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A journal entry made as part of the period-end close process to adjust balances for proper reporting.</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3. Policy Statements</w:t>
      </w:r>
    </w:p>
    <w:p>
      <w:pPr>
        <w:pStyle w:val="Heading2"/>
        <w:spacing w:after="150" w:before="300"/>
      </w:pPr>
      <w:r>
        <w:rPr>
          <w:rFonts w:ascii="Georgia" w:cs="Georgia" w:eastAsia="Georgia" w:hAnsi="Georgia"/>
          <w:b/>
          <w:bCs/>
          <w:color w:val="333333"/>
          <w:sz w:val="26"/>
          <w:szCs w:val="26"/>
        </w:rPr>
        <w:t xml:space="preserve">3.1 General Ledger Integrity</w:t>
      </w:r>
    </w:p>
    <w:p>
      <w:pPr>
        <w:spacing w:after="150" w:before="0"/>
        <w:jc w:val="both"/>
      </w:pPr>
      <w:r>
        <w:rPr>
          <w:rFonts w:ascii="Calibri" w:cs="Calibri" w:eastAsia="Calibri" w:hAnsi="Calibri"/>
          <w:color w:val="333333"/>
          <w:sz w:val="22"/>
          <w:szCs w:val="22"/>
        </w:rPr>
        <w:t xml:space="preserve">The general ledger is the authoritative record of all financial transactions. All financial reports, whether internal or external, shall be derived from the general ledger. No financial data shall be reported that is inconsistent with or does not reconcile to the general ledger.</w:t>
      </w:r>
    </w:p>
    <w:p>
      <w:pPr>
        <w:pStyle w:val="Heading2"/>
        <w:spacing w:after="150" w:before="300"/>
      </w:pPr>
      <w:r>
        <w:rPr>
          <w:rFonts w:ascii="Georgia" w:cs="Georgia" w:eastAsia="Georgia" w:hAnsi="Georgia"/>
          <w:b/>
          <w:bCs/>
          <w:color w:val="333333"/>
          <w:sz w:val="26"/>
          <w:szCs w:val="26"/>
        </w:rPr>
        <w:t xml:space="preserve">3.2 Chart of Accounts Management</w:t>
      </w:r>
    </w:p>
    <w:p>
      <w:pPr>
        <w:spacing w:after="150" w:before="0"/>
        <w:jc w:val="both"/>
      </w:pPr>
      <w:r>
        <w:rPr>
          <w:rFonts w:ascii="Calibri" w:cs="Calibri" w:eastAsia="Calibri" w:hAnsi="Calibri"/>
          <w:color w:val="333333"/>
          <w:sz w:val="22"/>
          <w:szCs w:val="22"/>
        </w:rPr>
        <w:t xml:space="preserve">The chart of accounts shall be maintained by the Controller with input from FP&amp;A, tax, and business operations. New accounts shall be created only when existing accounts do not adequately capture the nature of a transaction. Account creation requires Controller approval. The COA shall be structured to support: GAAP financial statement presentation, management and segment reporting, tax reporting, and regulatory requirements.</w:t>
      </w:r>
    </w:p>
    <w:p>
      <w:pPr>
        <w:pStyle w:val="Heading2"/>
        <w:spacing w:after="150" w:before="300"/>
      </w:pPr>
      <w:r>
        <w:rPr>
          <w:rFonts w:ascii="Georgia" w:cs="Georgia" w:eastAsia="Georgia" w:hAnsi="Georgia"/>
          <w:b/>
          <w:bCs/>
          <w:color w:val="333333"/>
          <w:sz w:val="26"/>
          <w:szCs w:val="26"/>
        </w:rPr>
        <w:t xml:space="preserve">3.3 Journal Entry Controls</w:t>
      </w:r>
    </w:p>
    <w:p>
      <w:pPr>
        <w:spacing w:after="150" w:before="0"/>
        <w:jc w:val="both"/>
      </w:pPr>
      <w:r>
        <w:rPr>
          <w:rFonts w:ascii="Calibri" w:cs="Calibri" w:eastAsia="Calibri" w:hAnsi="Calibri"/>
          <w:color w:val="333333"/>
          <w:sz w:val="22"/>
          <w:szCs w:val="22"/>
        </w:rPr>
        <w:t xml:space="preserve">All journal entries shall comply with the following requirements: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Every entry must balance (total debits equal total credits)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Every entry must include a clear, descriptive narrative explaining the business purpose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Every entry must reference supporting documentation sufficient for an independent reviewer to understand and validate the entry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Every manual journal entry must be prepared by one individual and approved by a different individual with appropriate authority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No journal entry shall be backdated to a closed period without Controller and CFO approval</w:t>
      </w:r>
    </w:p>
    <w:p>
      <w:pPr>
        <w:pStyle w:val="Heading2"/>
        <w:spacing w:after="150" w:before="300"/>
      </w:pPr>
      <w:r>
        <w:rPr>
          <w:rFonts w:ascii="Georgia" w:cs="Georgia" w:eastAsia="Georgia" w:hAnsi="Georgia"/>
          <w:b/>
          <w:bCs/>
          <w:color w:val="333333"/>
          <w:sz w:val="26"/>
          <w:szCs w:val="26"/>
        </w:rPr>
        <w:t xml:space="preserve">3.4 Segregation of Duties</w:t>
      </w:r>
    </w:p>
    <w:p>
      <w:pPr>
        <w:spacing w:after="150" w:before="0"/>
        <w:jc w:val="both"/>
      </w:pPr>
      <w:r>
        <w:rPr>
          <w:rFonts w:ascii="Calibri" w:cs="Calibri" w:eastAsia="Calibri" w:hAnsi="Calibri"/>
          <w:color w:val="333333"/>
          <w:sz w:val="22"/>
          <w:szCs w:val="22"/>
        </w:rPr>
        <w:t xml:space="preserve">The individual who prepares a journal entry shall not approve their own entry. System access shall be configured to enforce this segregation. Individuals who have the ability to both create and approve journal entries in the system shall be identified, monitored, and reported as a SOD conflict requiring a mitigating control.</w:t>
      </w:r>
    </w:p>
    <w:p>
      <w:pPr>
        <w:pStyle w:val="Heading2"/>
        <w:spacing w:after="150" w:before="300"/>
      </w:pPr>
      <w:r>
        <w:rPr>
          <w:rFonts w:ascii="Georgia" w:cs="Georgia" w:eastAsia="Georgia" w:hAnsi="Georgia"/>
          <w:b/>
          <w:bCs/>
          <w:color w:val="333333"/>
          <w:sz w:val="26"/>
          <w:szCs w:val="26"/>
        </w:rPr>
        <w:t xml:space="preserve">3.5 Anti-Fraud Controls</w:t>
      </w:r>
    </w:p>
    <w:p>
      <w:pPr>
        <w:spacing w:after="150" w:before="0"/>
        <w:jc w:val="both"/>
      </w:pPr>
      <w:r>
        <w:rPr>
          <w:rFonts w:ascii="Calibri" w:cs="Calibri" w:eastAsia="Calibri" w:hAnsi="Calibri"/>
          <w:color w:val="333333"/>
          <w:sz w:val="22"/>
          <w:szCs w:val="22"/>
        </w:rPr>
        <w:t xml:space="preserve">Journal entries are a primary mechanism for financial statement fraud (management override of controls per SAS 99). The following anti-fraud controls shall be maintained: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All manual journal entries are subject to independent review and approval</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Journal entries made by senior management (Controller, CFO) shall be reviewed by a different senior individual</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Unusual journal entries (round amounts, entries near period-end, entries to unusual account combinations) shall be flagged for enhanced review</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Data analytics shall be performed periodically to identify anomalous journal entry patterns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4. Roles &amp; Responsibilities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Role</w:t>
            </w:r>
          </w:p>
        </w:tc>
        <w:tc>
          <w:tcPr>
            <w:tcW w:type="dxa" w:w="6160"/>
            <w:shd w:fill="0C0C0C" w:val="clear"/>
          </w:tcPr>
          <w:p>
            <w:pPr>
              <w:spacing w:after="60" w:before="60"/>
            </w:pPr>
            <w:r>
              <w:rPr>
                <w:rFonts w:ascii="Calibri" w:cs="Calibri" w:eastAsia="Calibri" w:hAnsi="Calibri"/>
                <w:b/>
                <w:bCs/>
                <w:color w:val="D4AF37"/>
                <w:sz w:val="20"/>
                <w:szCs w:val="20"/>
              </w:rPr>
              <w:t xml:space="preserve">Responsibilities</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CFO</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Approves period reopening and retroactive entries. Reviews journal entries made by the Controller.</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Controller</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Owns the chart of accounts. Approves material journal entries. Reviews all topside and consolidation entries. Ensures journal entry controls are effective.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Accounting Manager</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Reviews and approves journal entries within authority. Monitors journal entry volume and timeliness. Supervises staff accountant work.</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Staff / Senior Accountant</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Prepares journal entries with supporting documentation. Enters entries into the ERP system. Completes assigned close tasks by deadline.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FP&amp;A</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Requests COA changes for new reporting needs. Reviews journal entries for budget impact. Provides analytical support for estimate entries.</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Internal Audit</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Tests journal entry controls annually. Performs data analytics on journal entry populations. Reports findings to Audit Committee.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IT / System Administrator</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Manages GL system access. Configures journal entry workflows. Maintains system controls (auto-balance, required fields).</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5. Detailed Procedures</w:t>
      </w:r>
    </w:p>
    <w:p>
      <w:pPr>
        <w:pStyle w:val="Heading2"/>
        <w:spacing w:after="150" w:before="300"/>
      </w:pPr>
      <w:r>
        <w:rPr>
          <w:rFonts w:ascii="Georgia" w:cs="Georgia" w:eastAsia="Georgia" w:hAnsi="Georgia"/>
          <w:b/>
          <w:bCs/>
          <w:color w:val="333333"/>
          <w:sz w:val="26"/>
          <w:szCs w:val="26"/>
        </w:rPr>
        <w:t xml:space="preserve">5.1 Journal Entry Types and Requirements</w:t>
      </w:r>
    </w:p>
    <w:p>
      <w:pPr>
        <w:pStyle w:val="Heading3"/>
        <w:spacing w:after="100" w:before="200"/>
      </w:pPr>
      <w:r>
        <w:rPr>
          <w:rFonts w:ascii="Georgia" w:cs="Georgia" w:eastAsia="Georgia" w:hAnsi="Georgia"/>
          <w:b/>
          <w:bCs/>
          <w:color w:val="444444"/>
          <w:sz w:val="22"/>
          <w:szCs w:val="22"/>
        </w:rPr>
        <w:t xml:space="preserve">5.1.1 Standard / Recurring Journal Entries</w:t>
      </w:r>
    </w:p>
    <w:p>
      <w:pPr>
        <w:spacing w:after="150" w:before="0"/>
        <w:jc w:val="both"/>
      </w:pPr>
      <w:r>
        <w:rPr>
          <w:rFonts w:ascii="Calibri" w:cs="Calibri" w:eastAsia="Calibri" w:hAnsi="Calibri"/>
          <w:color w:val="333333"/>
          <w:sz w:val="22"/>
          <w:szCs w:val="22"/>
        </w:rPr>
        <w:t xml:space="preserve">SJEs are pre-approved, recurring entries that are substantially the same each period. Examples: depreciation, amortization, rent expense, insurance allocation. SJEs shall be documented in a master schedule that includes: entry description, accounts, calculation methodology, frequency, and source of amount. The master schedule shall be reviewed and approved by the Controller at least annually.</w:t>
      </w:r>
    </w:p>
    <w:p>
      <w:pPr>
        <w:pStyle w:val="Heading3"/>
        <w:spacing w:after="100" w:before="200"/>
      </w:pPr>
      <w:r>
        <w:rPr>
          <w:rFonts w:ascii="Georgia" w:cs="Georgia" w:eastAsia="Georgia" w:hAnsi="Georgia"/>
          <w:b/>
          <w:bCs/>
          <w:color w:val="444444"/>
          <w:sz w:val="22"/>
          <w:szCs w:val="22"/>
        </w:rPr>
        <w:t xml:space="preserve">5.1.2 Manual Journal Entries</w:t>
      </w:r>
    </w:p>
    <w:p>
      <w:pPr>
        <w:spacing w:after="150" w:before="0"/>
        <w:jc w:val="both"/>
      </w:pPr>
      <w:r>
        <w:rPr>
          <w:rFonts w:ascii="Calibri" w:cs="Calibri" w:eastAsia="Calibri" w:hAnsi="Calibri"/>
          <w:color w:val="333333"/>
          <w:sz w:val="22"/>
          <w:szCs w:val="22"/>
        </w:rPr>
        <w:t xml:space="preserve">MJEs require individual preparation and approval each period. Common MJEs include: period-end accruals, reclassifications, error corrections, and non-routine adjustments. Each MJE shall include: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Unique entry number assigned by the system</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Entry date and posting period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Debit and credit accounts with amounts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Descriptive narrative explaining the business purpose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Supporting documentation reference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Preparer identification and date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Approver identification and date</w:t>
      </w:r>
    </w:p>
    <w:p>
      <w:pPr>
        <w:pStyle w:val="Heading3"/>
        <w:spacing w:after="100" w:before="200"/>
      </w:pPr>
      <w:r>
        <w:rPr>
          <w:rFonts w:ascii="Georgia" w:cs="Georgia" w:eastAsia="Georgia" w:hAnsi="Georgia"/>
          <w:b/>
          <w:bCs/>
          <w:color w:val="444444"/>
          <w:sz w:val="22"/>
          <w:szCs w:val="22"/>
        </w:rPr>
        <w:t xml:space="preserve">5.1.3 Topside / Consolidation Entries</w:t>
      </w:r>
    </w:p>
    <w:p>
      <w:pPr>
        <w:spacing w:after="150" w:before="0"/>
        <w:jc w:val="both"/>
      </w:pPr>
      <w:r>
        <w:rPr>
          <w:rFonts w:ascii="Calibri" w:cs="Calibri" w:eastAsia="Calibri" w:hAnsi="Calibri"/>
          <w:color w:val="333333"/>
          <w:sz w:val="22"/>
          <w:szCs w:val="22"/>
        </w:rPr>
        <w:t xml:space="preserve">Topside entries are adjustments made at the consolidation level that are not recorded in entity-level sub-ledgers. Due to the elevated risk of these entries (they bypass entity-level controls), all topside entries require Controller approval and quarterly review by the CFO. The list of recurring topside entries shall be maintained and reviewed annually.</w:t>
      </w:r>
    </w:p>
    <w:p>
      <w:pPr>
        <w:pStyle w:val="Heading3"/>
        <w:spacing w:after="100" w:before="200"/>
      </w:pPr>
      <w:r>
        <w:rPr>
          <w:rFonts w:ascii="Georgia" w:cs="Georgia" w:eastAsia="Georgia" w:hAnsi="Georgia"/>
          <w:b/>
          <w:bCs/>
          <w:color w:val="444444"/>
          <w:sz w:val="22"/>
          <w:szCs w:val="22"/>
        </w:rPr>
        <w:t xml:space="preserve">5.1.4 Reversing Entries</w:t>
      </w:r>
    </w:p>
    <w:p>
      <w:pPr>
        <w:spacing w:after="150" w:before="0"/>
        <w:jc w:val="both"/>
      </w:pPr>
      <w:r>
        <w:rPr>
          <w:rFonts w:ascii="Calibri" w:cs="Calibri" w:eastAsia="Calibri" w:hAnsi="Calibri"/>
          <w:color w:val="333333"/>
          <w:sz w:val="22"/>
          <w:szCs w:val="22"/>
        </w:rPr>
        <w:t xml:space="preserve">Accrual entries that are expected to reverse in the subsequent period shall be flagged as auto-reversing in the system. The reversal shall post on the first day of the subsequent period. Non-reversal of accruals shall be investigated monthly.</w:t>
      </w:r>
    </w:p>
    <w:p>
      <w:pPr>
        <w:pStyle w:val="Heading3"/>
        <w:spacing w:after="100" w:before="200"/>
      </w:pPr>
      <w:r>
        <w:rPr>
          <w:rFonts w:ascii="Georgia" w:cs="Georgia" w:eastAsia="Georgia" w:hAnsi="Georgia"/>
          <w:b/>
          <w:bCs/>
          <w:color w:val="444444"/>
          <w:sz w:val="22"/>
          <w:szCs w:val="22"/>
        </w:rPr>
        <w:t xml:space="preserve">5.1.5 Intercompany Entries</w:t>
      </w:r>
    </w:p>
    <w:p>
      <w:pPr>
        <w:spacing w:after="150" w:before="0"/>
        <w:jc w:val="both"/>
      </w:pPr>
      <w:r>
        <w:rPr>
          <w:rFonts w:ascii="Calibri" w:cs="Calibri" w:eastAsia="Calibri" w:hAnsi="Calibri"/>
          <w:color w:val="333333"/>
          <w:sz w:val="22"/>
          <w:szCs w:val="22"/>
        </w:rPr>
        <w:t xml:space="preserve">Intercompany journal entries shall be recorded simultaneously in both entities using matching entry references. Intercompany balances shall be reconciled monthly and must net to zero at the consolidated level. Unmatched intercompany entries require investigation and resolution before close.</w:t>
      </w:r>
    </w:p>
    <w:p>
      <w:pPr>
        <w:pStyle w:val="Heading2"/>
        <w:spacing w:after="150" w:before="300"/>
      </w:pPr>
      <w:r>
        <w:rPr>
          <w:rFonts w:ascii="Georgia" w:cs="Georgia" w:eastAsia="Georgia" w:hAnsi="Georgia"/>
          <w:b/>
          <w:bCs/>
          <w:color w:val="333333"/>
          <w:sz w:val="26"/>
          <w:szCs w:val="26"/>
        </w:rPr>
        <w:t xml:space="preserve">5.2 Journal Entry Approval 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shd w:fill="0C0C0C" w:val="clear"/>
          </w:tcPr>
          <w:p>
            <w:pPr>
              <w:spacing w:after="60" w:before="60"/>
            </w:pPr>
            <w:r>
              <w:rPr>
                <w:rFonts w:ascii="Calibri" w:cs="Calibri" w:eastAsia="Calibri" w:hAnsi="Calibri"/>
                <w:b/>
                <w:bCs/>
                <w:color w:val="D4AF37"/>
                <w:sz w:val="20"/>
                <w:szCs w:val="20"/>
              </w:rPr>
              <w:t xml:space="preserve">Entry Amount</w:t>
            </w:r>
          </w:p>
        </w:tc>
        <w:tc>
          <w:tcPr>
            <w:tcW w:type="dxa" w:w="2400"/>
            <w:shd w:fill="0C0C0C" w:val="clear"/>
          </w:tcPr>
          <w:p>
            <w:pPr>
              <w:spacing w:after="60" w:before="60"/>
            </w:pPr>
            <w:r>
              <w:rPr>
                <w:rFonts w:ascii="Calibri" w:cs="Calibri" w:eastAsia="Calibri" w:hAnsi="Calibri"/>
                <w:b/>
                <w:bCs/>
                <w:color w:val="D4AF37"/>
                <w:sz w:val="20"/>
                <w:szCs w:val="20"/>
              </w:rPr>
              <w:t xml:space="preserve">Entry Type</w:t>
            </w:r>
          </w:p>
        </w:tc>
        <w:tc>
          <w:tcPr>
            <w:tcW w:type="dxa" w:w="4560"/>
            <w:shd w:fill="0C0C0C" w:val="clear"/>
          </w:tcPr>
          <w:p>
            <w:pPr>
              <w:spacing w:after="60" w:before="60"/>
            </w:pPr>
            <w:r>
              <w:rPr>
                <w:rFonts w:ascii="Calibri" w:cs="Calibri" w:eastAsia="Calibri" w:hAnsi="Calibri"/>
                <w:b/>
                <w:bCs/>
                <w:color w:val="D4AF37"/>
                <w:sz w:val="20"/>
                <w:szCs w:val="20"/>
              </w:rPr>
              <w:t xml:space="preserve">Approver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&lt; $10,000</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Routine MJE</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Accounting Manager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$10,000 – $100,000</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Routine MJE</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Accounting Manager or Controller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&gt; $100,000</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All MJE</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&gt; $500,000</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All MJE</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 + CFO notification</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Any amount</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Topside / consolidation</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Any amount</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Entry by Controller</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CFO</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Any amount</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Entry by CFO</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Controller (cross-review)</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Any amount</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Period reopening</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 + CFO</w:t>
            </w:r>
          </w:p>
        </w:tc>
      </w:tr>
    </w:tbl>
    <w:p>
      <w:pPr>
        <w:pStyle w:val="Heading2"/>
        <w:spacing w:after="150" w:before="300"/>
      </w:pPr>
      <w:r>
        <w:rPr>
          <w:rFonts w:ascii="Georgia" w:cs="Georgia" w:eastAsia="Georgia" w:hAnsi="Georgia"/>
          <w:b/>
          <w:bCs/>
          <w:color w:val="333333"/>
          <w:sz w:val="26"/>
          <w:szCs w:val="26"/>
        </w:rPr>
        <w:t xml:space="preserve">5.3 Chart of Accounts Procedures</w:t>
      </w:r>
    </w:p>
    <w:p>
      <w:pPr>
        <w:pStyle w:val="Heading3"/>
        <w:spacing w:after="100" w:before="200"/>
      </w:pPr>
      <w:r>
        <w:rPr>
          <w:rFonts w:ascii="Georgia" w:cs="Georgia" w:eastAsia="Georgia" w:hAnsi="Georgia"/>
          <w:b/>
          <w:bCs/>
          <w:color w:val="444444"/>
          <w:sz w:val="22"/>
          <w:szCs w:val="22"/>
        </w:rPr>
        <w:t xml:space="preserve">5.3.1 Account Creation</w:t>
      </w:r>
    </w:p>
    <w:p>
      <w:pPr>
        <w:spacing w:after="150" w:before="0"/>
        <w:jc w:val="both"/>
      </w:pPr>
      <w:r>
        <w:rPr>
          <w:rFonts w:ascii="Calibri" w:cs="Calibri" w:eastAsia="Calibri" w:hAnsi="Calibri"/>
          <w:color w:val="333333"/>
          <w:sz w:val="22"/>
          <w:szCs w:val="22"/>
        </w:rPr>
        <w:t xml:space="preserve">Requests for new GL accounts shall be submitted to the Controller with: proposed account number, description, financial statement mapping, tax mapping, purpose justification, and expected transaction volume. The Controller shall evaluate whether an existing account can serve the purpose before creating a new one.</w:t>
      </w:r>
    </w:p>
    <w:p>
      <w:pPr>
        <w:pStyle w:val="Heading3"/>
        <w:spacing w:after="100" w:before="200"/>
      </w:pPr>
      <w:r>
        <w:rPr>
          <w:rFonts w:ascii="Georgia" w:cs="Georgia" w:eastAsia="Georgia" w:hAnsi="Georgia"/>
          <w:b/>
          <w:bCs/>
          <w:color w:val="444444"/>
          <w:sz w:val="22"/>
          <w:szCs w:val="22"/>
        </w:rPr>
        <w:t xml:space="preserve">5.3.2 Account Deactivation</w:t>
      </w:r>
    </w:p>
    <w:p>
      <w:pPr>
        <w:spacing w:after="150" w:before="0"/>
        <w:jc w:val="both"/>
      </w:pPr>
      <w:r>
        <w:rPr>
          <w:rFonts w:ascii="Calibri" w:cs="Calibri" w:eastAsia="Calibri" w:hAnsi="Calibri"/>
          <w:color w:val="333333"/>
          <w:sz w:val="22"/>
          <w:szCs w:val="22"/>
        </w:rPr>
        <w:t xml:space="preserve">Accounts with no activity for [12] consecutive months shall be reviewed for deactivation. Deactivated accounts shall retain their history but prevent new postings. Account deactivation requires Controller approval.</w:t>
      </w:r>
    </w:p>
    <w:p>
      <w:pPr>
        <w:pStyle w:val="Heading3"/>
        <w:spacing w:after="100" w:before="200"/>
      </w:pPr>
      <w:r>
        <w:rPr>
          <w:rFonts w:ascii="Georgia" w:cs="Georgia" w:eastAsia="Georgia" w:hAnsi="Georgia"/>
          <w:b/>
          <w:bCs/>
          <w:color w:val="444444"/>
          <w:sz w:val="22"/>
          <w:szCs w:val="22"/>
        </w:rPr>
        <w:t xml:space="preserve">5.3.3 Account Structure</w:t>
      </w:r>
    </w:p>
    <w:p>
      <w:pPr>
        <w:spacing w:after="150" w:before="0"/>
        <w:jc w:val="both"/>
      </w:pPr>
      <w:r>
        <w:rPr>
          <w:rFonts w:ascii="Calibri" w:cs="Calibri" w:eastAsia="Calibri" w:hAnsi="Calibri"/>
          <w:color w:val="333333"/>
          <w:sz w:val="22"/>
          <w:szCs w:val="22"/>
        </w:rPr>
        <w:t xml:space="preserve">The COA shall follow a consistent numbering convention: [describe structure, e.g., XXXX-XXX-XX = Account-Department-Location]. The structure shall support consolidation, segment reporting, and management reporting requirements.</w:t>
      </w:r>
    </w:p>
    <w:p>
      <w:pPr>
        <w:pStyle w:val="Heading2"/>
        <w:spacing w:after="150" w:before="300"/>
      </w:pPr>
      <w:r>
        <w:rPr>
          <w:rFonts w:ascii="Georgia" w:cs="Georgia" w:eastAsia="Georgia" w:hAnsi="Georgia"/>
          <w:b/>
          <w:bCs/>
          <w:color w:val="333333"/>
          <w:sz w:val="26"/>
          <w:szCs w:val="26"/>
        </w:rPr>
        <w:t xml:space="preserve">5.4 Period Management</w:t>
      </w:r>
    </w:p>
    <w:p>
      <w:pPr>
        <w:pStyle w:val="Heading3"/>
        <w:spacing w:after="100" w:before="200"/>
      </w:pPr>
      <w:r>
        <w:rPr>
          <w:rFonts w:ascii="Georgia" w:cs="Georgia" w:eastAsia="Georgia" w:hAnsi="Georgia"/>
          <w:b/>
          <w:bCs/>
          <w:color w:val="444444"/>
          <w:sz w:val="22"/>
          <w:szCs w:val="22"/>
        </w:rPr>
        <w:t xml:space="preserve">5.4.1 Period Opening and Closing</w:t>
      </w:r>
    </w:p>
    <w:p>
      <w:pPr>
        <w:spacing w:after="150" w:before="0"/>
        <w:jc w:val="both"/>
      </w:pPr>
      <w:r>
        <w:rPr>
          <w:rFonts w:ascii="Calibri" w:cs="Calibri" w:eastAsia="Calibri" w:hAnsi="Calibri"/>
          <w:color w:val="333333"/>
          <w:sz w:val="22"/>
          <w:szCs w:val="22"/>
        </w:rPr>
        <w:t xml:space="preserve">Accounting periods shall be opened and closed per the close calendar. Once a period is closed, no entries may be posted without Controller and CFO approval. The system shall enforce period closure to prevent unauthorized postings to closed periods.</w:t>
      </w:r>
    </w:p>
    <w:p>
      <w:pPr>
        <w:pStyle w:val="Heading3"/>
        <w:spacing w:after="100" w:before="200"/>
      </w:pPr>
      <w:r>
        <w:rPr>
          <w:rFonts w:ascii="Georgia" w:cs="Georgia" w:eastAsia="Georgia" w:hAnsi="Georgia"/>
          <w:b/>
          <w:bCs/>
          <w:color w:val="444444"/>
          <w:sz w:val="22"/>
          <w:szCs w:val="22"/>
        </w:rPr>
        <w:t xml:space="preserve">5.4.2 Year-End Closing Entries</w:t>
      </w:r>
    </w:p>
    <w:p>
      <w:pPr>
        <w:spacing w:after="150" w:before="0"/>
        <w:jc w:val="both"/>
      </w:pPr>
      <w:r>
        <w:rPr>
          <w:rFonts w:ascii="Calibri" w:cs="Calibri" w:eastAsia="Calibri" w:hAnsi="Calibri"/>
          <w:color w:val="333333"/>
          <w:sz w:val="22"/>
          <w:szCs w:val="22"/>
        </w:rPr>
        <w:t xml:space="preserve">Year-end closing entries include: income statement account closure to retained earnings, final accruals and true-ups, and any audit adjustments. Year-end entries require Controller approval and CFO review.</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6. Approval Authorities &amp; Thresholds</w:t>
      </w:r>
    </w:p>
    <w:p>
      <w:pPr>
        <w:spacing w:after="150" w:before="0"/>
        <w:jc w:val="both"/>
      </w:pPr>
      <w:r>
        <w:rPr>
          <w:rFonts w:ascii="Calibri" w:cs="Calibri" w:eastAsia="Calibri" w:hAnsi="Calibri"/>
          <w:color w:val="333333"/>
          <w:sz w:val="22"/>
          <w:szCs w:val="22"/>
        </w:rPr>
        <w:t xml:space="preserve">Journal entry approval authorities are defined in Section 5.2 above. Additional GL-specific authorities: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shd w:fill="0C0C0C" w:val="clear"/>
          </w:tcPr>
          <w:p>
            <w:pPr>
              <w:spacing w:after="60" w:before="60"/>
            </w:pPr>
            <w:r>
              <w:rPr>
                <w:rFonts w:ascii="Calibri" w:cs="Calibri" w:eastAsia="Calibri" w:hAnsi="Calibri"/>
                <w:b/>
                <w:bCs/>
                <w:color w:val="D4AF37"/>
                <w:sz w:val="20"/>
                <w:szCs w:val="20"/>
              </w:rPr>
              <w:t xml:space="preserve">Activity</w:t>
            </w:r>
          </w:p>
        </w:tc>
        <w:tc>
          <w:tcPr>
            <w:tcW w:type="dxa" w:w="2400"/>
            <w:shd w:fill="0C0C0C" w:val="clear"/>
          </w:tcPr>
          <w:p>
            <w:pPr>
              <w:spacing w:after="60" w:before="60"/>
            </w:pPr>
            <w:r>
              <w:rPr>
                <w:rFonts w:ascii="Calibri" w:cs="Calibri" w:eastAsia="Calibri" w:hAnsi="Calibri"/>
                <w:b/>
                <w:bCs/>
                <w:color w:val="D4AF37"/>
                <w:sz w:val="20"/>
                <w:szCs w:val="20"/>
              </w:rPr>
              <w:t xml:space="preserve">Threshold</w:t>
            </w:r>
          </w:p>
        </w:tc>
        <w:tc>
          <w:tcPr>
            <w:tcW w:type="dxa" w:w="4560"/>
            <w:shd w:fill="0C0C0C" w:val="clear"/>
          </w:tcPr>
          <w:p>
            <w:pPr>
              <w:spacing w:after="60" w:before="60"/>
            </w:pPr>
            <w:r>
              <w:rPr>
                <w:rFonts w:ascii="Calibri" w:cs="Calibri" w:eastAsia="Calibri" w:hAnsi="Calibri"/>
                <w:b/>
                <w:bCs/>
                <w:color w:val="D4AF37"/>
                <w:sz w:val="20"/>
                <w:szCs w:val="20"/>
              </w:rPr>
              <w:t xml:space="preserve">Approver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New GL account creation</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GL account deactivation</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COA restructuring</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Material changes</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Controller + CFO</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Period reopening</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Controller + CFO</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Topside entry</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Controller</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Error correction (current period)</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&lt; $50K</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Accounting Manager</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Error correction (prior period)</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All</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Controller + CFO</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7. Exceptions &amp; Escalation</w:t>
      </w:r>
    </w:p>
    <w:p>
      <w:pPr>
        <w:pStyle w:val="Heading2"/>
        <w:spacing w:after="150" w:before="300"/>
      </w:pPr>
      <w:r>
        <w:rPr>
          <w:rFonts w:ascii="Georgia" w:cs="Georgia" w:eastAsia="Georgia" w:hAnsi="Georgia"/>
          <w:b/>
          <w:bCs/>
          <w:color w:val="333333"/>
          <w:sz w:val="26"/>
          <w:szCs w:val="26"/>
        </w:rPr>
        <w:t xml:space="preserve">7.1 Emergency Entries</w:t>
      </w:r>
    </w:p>
    <w:p>
      <w:pPr>
        <w:spacing w:after="150" w:before="0"/>
        <w:jc w:val="both"/>
      </w:pPr>
      <w:r>
        <w:rPr>
          <w:rFonts w:ascii="Calibri" w:cs="Calibri" w:eastAsia="Calibri" w:hAnsi="Calibri"/>
          <w:color w:val="333333"/>
          <w:sz w:val="22"/>
          <w:szCs w:val="22"/>
        </w:rPr>
        <w:t xml:space="preserve">In rare circumstances, a journal entry may need to be posted urgently without the standard approval workflow (e.g., system failure, time-critical regulatory filing). Emergency entries require verbal Controller approval, documented within 24 hours with full written approval and supporting documentation.</w:t>
      </w:r>
    </w:p>
    <w:p>
      <w:pPr>
        <w:pStyle w:val="Heading2"/>
        <w:spacing w:after="150" w:before="300"/>
      </w:pPr>
      <w:r>
        <w:rPr>
          <w:rFonts w:ascii="Georgia" w:cs="Georgia" w:eastAsia="Georgia" w:hAnsi="Georgia"/>
          <w:b/>
          <w:bCs/>
          <w:color w:val="333333"/>
          <w:sz w:val="26"/>
          <w:szCs w:val="26"/>
        </w:rPr>
        <w:t xml:space="preserve">7.2 Error Correction</w:t>
      </w:r>
    </w:p>
    <w:p>
      <w:pPr>
        <w:spacing w:after="150" w:before="0"/>
        <w:jc w:val="both"/>
      </w:pPr>
      <w:r>
        <w:rPr>
          <w:rFonts w:ascii="Calibri" w:cs="Calibri" w:eastAsia="Calibri" w:hAnsi="Calibri"/>
          <w:color w:val="333333"/>
          <w:sz w:val="22"/>
          <w:szCs w:val="22"/>
        </w:rPr>
        <w:t xml:space="preserve">Errors in journal entries shall be corrected through a correcting entry (not deletion or modification of the original entry). The correcting entry shall reference the original entry and include an explanation of the error. Material errors affecting prior periods shall be evaluated per ASC 250 for restatement.</w:t>
      </w:r>
    </w:p>
    <w:p>
      <w:pPr>
        <w:pStyle w:val="Heading2"/>
        <w:spacing w:after="150" w:before="300"/>
      </w:pPr>
      <w:r>
        <w:rPr>
          <w:rFonts w:ascii="Georgia" w:cs="Georgia" w:eastAsia="Georgia" w:hAnsi="Georgia"/>
          <w:b/>
          <w:bCs/>
          <w:color w:val="333333"/>
          <w:sz w:val="26"/>
          <w:szCs w:val="26"/>
        </w:rPr>
        <w:t xml:space="preserve">7.3 Escalation</w:t>
      </w:r>
    </w:p>
    <w:p>
      <w:pPr>
        <w:spacing w:after="80"/>
        <w:ind w:left="720"/>
      </w:pPr>
      <w:r>
        <w:rPr>
          <w:rFonts w:ascii="Calibri" w:cs="Calibri" w:eastAsia="Calibri" w:hAnsi="Calibri"/>
          <w:b/>
          <w:bCs/>
          <w:color w:val="D4AF37"/>
          <w:sz w:val="22"/>
          <w:szCs w:val="22"/>
        </w:rPr>
        <w:t xml:space="preserve">1.  </w:t>
      </w:r>
      <w:r>
        <w:rPr>
          <w:rFonts w:ascii="Calibri" w:cs="Calibri" w:eastAsia="Calibri" w:hAnsi="Calibri"/>
          <w:color w:val="333333"/>
          <w:sz w:val="22"/>
          <w:szCs w:val="22"/>
        </w:rPr>
        <w:t xml:space="preserve">Staff Accountant — prepares entries, identifies errors, requests guidance</w:t>
      </w:r>
    </w:p>
    <w:p>
      <w:pPr>
        <w:spacing w:after="80"/>
        <w:ind w:left="720"/>
      </w:pPr>
      <w:r>
        <w:rPr>
          <w:rFonts w:ascii="Calibri" w:cs="Calibri" w:eastAsia="Calibri" w:hAnsi="Calibri"/>
          <w:b/>
          <w:bCs/>
          <w:color w:val="D4AF37"/>
          <w:sz w:val="22"/>
          <w:szCs w:val="22"/>
        </w:rPr>
        <w:t xml:space="preserve">2.  </w:t>
      </w:r>
      <w:r>
        <w:rPr>
          <w:rFonts w:ascii="Calibri" w:cs="Calibri" w:eastAsia="Calibri" w:hAnsi="Calibri"/>
          <w:color w:val="333333"/>
          <w:sz w:val="22"/>
          <w:szCs w:val="22"/>
        </w:rPr>
        <w:t xml:space="preserve">Accounting Manager — reviews entries, resolves coding questions, approves routine entries</w:t>
      </w:r>
    </w:p>
    <w:p>
      <w:pPr>
        <w:spacing w:after="80"/>
        <w:ind w:left="720"/>
      </w:pPr>
      <w:r>
        <w:rPr>
          <w:rFonts w:ascii="Calibri" w:cs="Calibri" w:eastAsia="Calibri" w:hAnsi="Calibri"/>
          <w:b/>
          <w:bCs/>
          <w:color w:val="D4AF37"/>
          <w:sz w:val="22"/>
          <w:szCs w:val="22"/>
        </w:rPr>
        <w:t xml:space="preserve">3.  </w:t>
      </w:r>
      <w:r>
        <w:rPr>
          <w:rFonts w:ascii="Calibri" w:cs="Calibri" w:eastAsia="Calibri" w:hAnsi="Calibri"/>
          <w:color w:val="333333"/>
          <w:sz w:val="22"/>
          <w:szCs w:val="22"/>
        </w:rPr>
        <w:t xml:space="preserve">Controller — approves material entries, resolves policy questions, manages period close</w:t>
      </w:r>
    </w:p>
    <w:p>
      <w:pPr>
        <w:spacing w:after="80"/>
        <w:ind w:left="720"/>
      </w:pPr>
      <w:r>
        <w:rPr>
          <w:rFonts w:ascii="Calibri" w:cs="Calibri" w:eastAsia="Calibri" w:hAnsi="Calibri"/>
          <w:b/>
          <w:bCs/>
          <w:color w:val="D4AF37"/>
          <w:sz w:val="22"/>
          <w:szCs w:val="22"/>
        </w:rPr>
        <w:t xml:space="preserve">4.  </w:t>
      </w:r>
      <w:r>
        <w:rPr>
          <w:rFonts w:ascii="Calibri" w:cs="Calibri" w:eastAsia="Calibri" w:hAnsi="Calibri"/>
          <w:color w:val="333333"/>
          <w:sz w:val="22"/>
          <w:szCs w:val="22"/>
        </w:rPr>
        <w:t xml:space="preserve">CFO — approves exceptional items, period reopening, prior-period corrections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8. Compliance Monitoring &amp; Testing</w:t>
      </w:r>
    </w:p>
    <w:p>
      <w:pPr>
        <w:pStyle w:val="Heading2"/>
        <w:spacing w:after="150" w:before="300"/>
      </w:pPr>
      <w:r>
        <w:rPr>
          <w:rFonts w:ascii="Georgia" w:cs="Georgia" w:eastAsia="Georgia" w:hAnsi="Georgia"/>
          <w:b/>
          <w:bCs/>
          <w:color w:val="333333"/>
          <w:sz w:val="26"/>
          <w:szCs w:val="26"/>
        </w:rPr>
        <w:t xml:space="preserve">8.1 Ongoing Monitoring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Daily system check: all entries balance, required fields completed, no entries to closed periods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Monthly review of all manual journal entries by the Controller (or sample-based for high-volume environments)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Monthly reconciliation of all GL control accounts to sub-ledgers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Quarterly data analytics: unusual entry patterns, round-number entries, weekend/holiday entries, same-preparer/approver entries</w:t>
      </w:r>
    </w:p>
    <w:p>
      <w:pPr>
        <w:pStyle w:val="Heading2"/>
        <w:spacing w:after="150" w:before="300"/>
      </w:pPr>
      <w:r>
        <w:rPr>
          <w:rFonts w:ascii="Georgia" w:cs="Georgia" w:eastAsia="Georgia" w:hAnsi="Georgia"/>
          <w:b/>
          <w:bCs/>
          <w:color w:val="333333"/>
          <w:sz w:val="26"/>
          <w:szCs w:val="26"/>
        </w:rPr>
        <w:t xml:space="preserve">8.2 Annual Testing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Internal audit testing of journal entry controls per SOX requirements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External auditor testing of journal entries as part of the annual audit (SAS 99 fraud procedures)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Annual review of the SJE master schedule for continued appropriateness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Annual COA review for unused accounts, mapping accuracy, and structural adequacy</w:t>
      </w:r>
    </w:p>
    <w:p>
      <w:pPr>
        <w:pStyle w:val="Heading2"/>
        <w:spacing w:after="150" w:before="300"/>
      </w:pPr>
      <w:r>
        <w:rPr>
          <w:rFonts w:ascii="Georgia" w:cs="Georgia" w:eastAsia="Georgia" w:hAnsi="Georgia"/>
          <w:b/>
          <w:bCs/>
          <w:color w:val="333333"/>
          <w:sz w:val="26"/>
          <w:szCs w:val="26"/>
        </w:rPr>
        <w:t xml:space="preserve">8.3 Key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Metric</w:t>
            </w:r>
          </w:p>
        </w:tc>
        <w:tc>
          <w:tcPr>
            <w:tcW w:type="dxa" w:w="6160"/>
            <w:shd w:fill="0C0C0C" w:val="clear"/>
          </w:tcPr>
          <w:p>
            <w:pPr>
              <w:spacing w:after="60" w:before="60"/>
            </w:pPr>
            <w:r>
              <w:rPr>
                <w:rFonts w:ascii="Calibri" w:cs="Calibri" w:eastAsia="Calibri" w:hAnsi="Calibri"/>
                <w:b/>
                <w:bCs/>
                <w:color w:val="D4AF37"/>
                <w:sz w:val="20"/>
                <w:szCs w:val="20"/>
              </w:rPr>
              <w:t xml:space="preserve">Target</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Manual journal entries per close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Trending downward</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JE approval compliance rate</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100%</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Post-close adjustments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&lt; 3 per period</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Audit adjustments from JE testing</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Zero</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SOD conflicts (create/approve)</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Zero unmitigated</w:t>
            </w:r>
          </w:p>
        </w:tc>
      </w:tr>
    </w:tbl>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9. Related Policies &amp; References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Financial Close &amp; Reporting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Internal Controls &amp; SOX Compliance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Segregation of Duties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Financial Systems Access Control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Financial Delegation of Authority Policy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ASC 250, Accounting Changes and Error Corrections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SAS 99, Consideration of Fraud in a Financial Statement Audit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PCAOB AS 2401, Consideration of Fraud in a Financial Statement Audit</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10. Appendices</w:t>
      </w:r>
    </w:p>
    <w:p>
      <w:pPr>
        <w:pStyle w:val="Heading2"/>
        <w:spacing w:after="150" w:before="300"/>
      </w:pPr>
      <w:r>
        <w:rPr>
          <w:rFonts w:ascii="Georgia" w:cs="Georgia" w:eastAsia="Georgia" w:hAnsi="Georgia"/>
          <w:b/>
          <w:bCs/>
          <w:color w:val="333333"/>
          <w:sz w:val="26"/>
          <w:szCs w:val="26"/>
        </w:rPr>
        <w:t xml:space="preserve">Appendix A — Journal Entry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shd w:fill="0C0C0C" w:val="clear"/>
          </w:tcPr>
          <w:p>
            <w:pPr>
              <w:spacing w:after="60" w:before="60"/>
            </w:pPr>
            <w:r>
              <w:rPr>
                <w:rFonts w:ascii="Calibri" w:cs="Calibri" w:eastAsia="Calibri" w:hAnsi="Calibri"/>
                <w:b/>
                <w:bCs/>
                <w:color w:val="D4AF37"/>
                <w:sz w:val="20"/>
                <w:szCs w:val="20"/>
              </w:rPr>
              <w:t xml:space="preserve">Field</w:t>
            </w:r>
          </w:p>
        </w:tc>
        <w:tc>
          <w:tcPr>
            <w:tcW w:type="dxa" w:w="2400"/>
            <w:shd w:fill="0C0C0C" w:val="clear"/>
          </w:tcPr>
          <w:p>
            <w:pPr>
              <w:spacing w:after="60" w:before="60"/>
            </w:pPr>
            <w:r>
              <w:rPr>
                <w:rFonts w:ascii="Calibri" w:cs="Calibri" w:eastAsia="Calibri" w:hAnsi="Calibri"/>
                <w:b/>
                <w:bCs/>
                <w:color w:val="D4AF37"/>
                <w:sz w:val="20"/>
                <w:szCs w:val="20"/>
              </w:rPr>
              <w:t xml:space="preserve">Description</w:t>
            </w:r>
          </w:p>
        </w:tc>
        <w:tc>
          <w:tcPr>
            <w:tcW w:type="dxa" w:w="4560"/>
            <w:shd w:fill="0C0C0C" w:val="clear"/>
          </w:tcPr>
          <w:p>
            <w:pPr>
              <w:spacing w:after="60" w:before="60"/>
            </w:pPr>
            <w:r>
              <w:rPr>
                <w:rFonts w:ascii="Calibri" w:cs="Calibri" w:eastAsia="Calibri" w:hAnsi="Calibri"/>
                <w:b/>
                <w:bCs/>
                <w:color w:val="D4AF37"/>
                <w:sz w:val="20"/>
                <w:szCs w:val="20"/>
              </w:rPr>
              <w:t xml:space="preserve">Required</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Entry Number</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System-assigned unique identifier</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Auto</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Entry Date</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Date of the journal entry</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Yes</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Posting Period</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Accounting period for posting</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Yes</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Description</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Business purpose narrative</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Yes</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Account Number</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GL account for each line</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Yes</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Department / Cost Center</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Organizational coding</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Yes</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Debit Amount</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Amount to debit</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Yes</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Credit Amount</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Amount to credit</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Yes</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Supporting Reference</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Document or calculation reference</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Yes</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Prepared By</w:t>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Name and date</w:t>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Yes</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Approved By</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Name and date</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Yes</w:t>
            </w:r>
          </w:p>
        </w:tc>
      </w:tr>
    </w:tbl>
    <w:p>
      <w:pPr>
        <w:pStyle w:val="Heading2"/>
        <w:spacing w:after="150" w:before="300"/>
      </w:pPr>
      <w:r>
        <w:rPr>
          <w:rFonts w:ascii="Georgia" w:cs="Georgia" w:eastAsia="Georgia" w:hAnsi="Georgia"/>
          <w:b/>
          <w:bCs/>
          <w:color w:val="333333"/>
          <w:sz w:val="26"/>
          <w:szCs w:val="26"/>
        </w:rPr>
        <w:t xml:space="preserve">Appendix B — Standard Journal Entry Master Schedule</w:t>
      </w:r>
    </w:p>
    <w:p>
      <w:pPr>
        <w:spacing w:after="150" w:before="0"/>
        <w:jc w:val="both"/>
      </w:pPr>
      <w:r>
        <w:rPr>
          <w:rFonts w:ascii="Calibri" w:cs="Calibri" w:eastAsia="Calibri" w:hAnsi="Calibri"/>
          <w:color w:val="333333"/>
          <w:sz w:val="22"/>
          <w:szCs w:val="22"/>
        </w:rPr>
        <w:t xml:space="preserve">The SJE master schedule is maintained by the Accounting Manager and includes all recurring entries. Each entry specifies: description, accounts, calculation methodology, frequency, source of amounts, and annual Controller approval date.</w:t>
      </w:r>
    </w:p>
    <w:p>
      <w:pPr>
        <w:pStyle w:val="Heading2"/>
        <w:spacing w:after="150" w:before="300"/>
      </w:pPr>
      <w:r>
        <w:rPr>
          <w:rFonts w:ascii="Georgia" w:cs="Georgia" w:eastAsia="Georgia" w:hAnsi="Georgia"/>
          <w:b/>
          <w:bCs/>
          <w:color w:val="333333"/>
          <w:sz w:val="26"/>
          <w:szCs w:val="26"/>
        </w:rPr>
        <w:t xml:space="preserve">Appendix C — Journal Entry Red Flags for Fraud Detection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Entries made to seldom-used or unusual account combinations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Round-dollar entries without supporting calculations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Entries made on weekends, holidays, or outside business hours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Entries made by individuals not typically involved in the close process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Entries with vague or missing descriptions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Entries that reverse immediately in the next period (indicating window dressing)</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Entries just below the approval threshold requiring higher authority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Entries to revenue accounts from non-revenue sources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Entries increasing reserves just before period end (cookie jar accounting)</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11. Chart of Accounts Design Principles</w:t>
      </w:r>
    </w:p>
    <w:p>
      <w:pPr>
        <w:pStyle w:val="Heading2"/>
        <w:spacing w:after="150" w:before="300"/>
      </w:pPr>
      <w:r>
        <w:rPr>
          <w:rFonts w:ascii="Georgia" w:cs="Georgia" w:eastAsia="Georgia" w:hAnsi="Georgia"/>
          <w:b/>
          <w:bCs/>
          <w:color w:val="333333"/>
          <w:sz w:val="26"/>
          <w:szCs w:val="26"/>
        </w:rPr>
        <w:t xml:space="preserve">11.1 Structure and Numbering Convention</w:t>
      </w:r>
    </w:p>
    <w:p>
      <w:pPr>
        <w:spacing w:after="150" w:before="0"/>
        <w:jc w:val="both"/>
      </w:pPr>
      <w:r>
        <w:rPr>
          <w:rFonts w:ascii="Calibri" w:cs="Calibri" w:eastAsia="Calibri" w:hAnsi="Calibri"/>
          <w:color w:val="333333"/>
          <w:sz w:val="22"/>
          <w:szCs w:val="22"/>
        </w:rPr>
        <w:t xml:space="preserve">The chart of accounts shall follow a hierarchical numbering convention that supports both financial reporting and management analysis. The recommended structure 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Segment</w:t>
            </w:r>
          </w:p>
        </w:tc>
        <w:tc>
          <w:tcPr>
            <w:tcW w:type="dxa" w:w="6160"/>
            <w:shd w:fill="0C0C0C" w:val="clear"/>
          </w:tcPr>
          <w:p>
            <w:pPr>
              <w:spacing w:after="60" w:before="60"/>
            </w:pPr>
            <w:r>
              <w:rPr>
                <w:rFonts w:ascii="Calibri" w:cs="Calibri" w:eastAsia="Calibri" w:hAnsi="Calibri"/>
                <w:b/>
                <w:bCs/>
                <w:color w:val="D4AF37"/>
                <w:sz w:val="20"/>
                <w:szCs w:val="20"/>
              </w:rPr>
              <w:t xml:space="preserve">Description</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Account (4 digits)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The natural account classification (1XXX Assets, 2XXX Liabilities, 3XXX Equity, 4XXX Revenue, 5XXX COGS, 6XXX Operating Expenses, 7XXX Other Income/Expense, 8XXX Tax, 9XXX Statistical)</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Department (3 digits)</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The organizational unit responsible for the transaction</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Location (2 digits)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The physical location or legal entity</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Project (4 digits)</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Optional project or initiative code for capital and strategic tracking</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Intercompany (2 digits)</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The counterparty entity code for intercompany transactions</w:t>
            </w:r>
          </w:p>
        </w:tc>
      </w:tr>
    </w:tbl>
    <w:p>
      <w:pPr>
        <w:spacing w:after="150" w:before="0"/>
        <w:jc w:val="both"/>
      </w:pPr>
      <w:r>
        <w:rPr>
          <w:rFonts w:ascii="Calibri" w:cs="Calibri" w:eastAsia="Calibri" w:hAnsi="Calibri"/>
          <w:color w:val="333333"/>
          <w:sz w:val="22"/>
          <w:szCs w:val="22"/>
        </w:rPr>
        <w:t xml:space="preserve">The total account string shall not exceed [15] characters to balance reporting granularity with usability. Account segments shall be mandatory or optional based on the transaction type, enforced through ERP system rules.</w:t>
      </w:r>
    </w:p>
    <w:p>
      <w:pPr>
        <w:pStyle w:val="Heading2"/>
        <w:spacing w:after="150" w:before="300"/>
      </w:pPr>
      <w:r>
        <w:rPr>
          <w:rFonts w:ascii="Georgia" w:cs="Georgia" w:eastAsia="Georgia" w:hAnsi="Georgia"/>
          <w:b/>
          <w:bCs/>
          <w:color w:val="333333"/>
          <w:sz w:val="26"/>
          <w:szCs w:val="26"/>
        </w:rPr>
        <w:t xml:space="preserve">11.2 Account Naming Standards</w:t>
      </w:r>
    </w:p>
    <w:p>
      <w:pPr>
        <w:spacing w:after="150" w:before="0"/>
        <w:jc w:val="both"/>
      </w:pPr>
      <w:r>
        <w:rPr>
          <w:rFonts w:ascii="Calibri" w:cs="Calibri" w:eastAsia="Calibri" w:hAnsi="Calibri"/>
          <w:color w:val="333333"/>
          <w:sz w:val="22"/>
          <w:szCs w:val="22"/>
        </w:rPr>
        <w:t xml:space="preserve">Account names shall be clear, descriptive, and consistent. The following naming conventions shall be followed: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Use full words rather than abbreviations (Professional Services Revenue, not Prof Svc Rev)</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Use consistent terminology across similar accounts (all salary accounts use 'Salaries' not a mix of 'Salaries', 'Wages', and 'Compensation')</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Include the account type in the name where clarifying (Accrued Bonus Liability, not just Accrued Bonuses)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Avoid generic names (Miscellaneous Expense, Other, Sundry) — these accounts shall not exceed [1%] of total expenses</w:t>
      </w:r>
    </w:p>
    <w:p>
      <w:pPr>
        <w:pStyle w:val="Heading2"/>
        <w:spacing w:after="150" w:before="300"/>
      </w:pPr>
      <w:r>
        <w:rPr>
          <w:rFonts w:ascii="Georgia" w:cs="Georgia" w:eastAsia="Georgia" w:hAnsi="Georgia"/>
          <w:b/>
          <w:bCs/>
          <w:color w:val="333333"/>
          <w:sz w:val="26"/>
          <w:szCs w:val="26"/>
        </w:rPr>
        <w:t xml:space="preserve">11.3 Account Hierarchy and Roll-Up</w:t>
      </w:r>
    </w:p>
    <w:p>
      <w:pPr>
        <w:spacing w:after="150" w:before="0"/>
        <w:jc w:val="both"/>
      </w:pPr>
      <w:r>
        <w:rPr>
          <w:rFonts w:ascii="Calibri" w:cs="Calibri" w:eastAsia="Calibri" w:hAnsi="Calibri"/>
          <w:color w:val="333333"/>
          <w:sz w:val="22"/>
          <w:szCs w:val="22"/>
        </w:rPr>
        <w:t xml:space="preserve">The COA shall support a hierarchical roll-up structure that maps detail accounts to financial statement line items. The hierarchy shall be documented in a mapping table maintained by the Controller. Every GL account must map to exactly one financial statement line item. The mapping shall be reviewed annually and updated when new accounts are created or financial statement presentation changes.</w:t>
      </w:r>
    </w:p>
    <w:p>
      <w:pPr>
        <w:pStyle w:val="Heading2"/>
        <w:spacing w:after="150" w:before="300"/>
      </w:pPr>
      <w:r>
        <w:rPr>
          <w:rFonts w:ascii="Georgia" w:cs="Georgia" w:eastAsia="Georgia" w:hAnsi="Georgia"/>
          <w:b/>
          <w:bCs/>
          <w:color w:val="333333"/>
          <w:sz w:val="26"/>
          <w:szCs w:val="26"/>
        </w:rPr>
        <w:t xml:space="preserve">11.4 Inactive and Restricted Accounts</w:t>
      </w:r>
    </w:p>
    <w:p>
      <w:pPr>
        <w:spacing w:after="150" w:before="0"/>
        <w:jc w:val="both"/>
      </w:pPr>
      <w:r>
        <w:rPr>
          <w:rFonts w:ascii="Calibri" w:cs="Calibri" w:eastAsia="Calibri" w:hAnsi="Calibri"/>
          <w:color w:val="333333"/>
          <w:sz w:val="22"/>
          <w:szCs w:val="22"/>
        </w:rPr>
        <w:t xml:space="preserve">Accounts shall be classified as: Active (available for posting), Restricted (available only with Controller approval), or Inactive (no posting permitted). Restricted accounts are used for sensitive items such as: related party transactions, executive compensation, board expenses, and legal settlements. Inactive accounts retain historical data but prevent new postings.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12. Advanced Journal Entry Controls</w:t>
      </w:r>
    </w:p>
    <w:p>
      <w:pPr>
        <w:pStyle w:val="Heading2"/>
        <w:spacing w:after="150" w:before="300"/>
      </w:pPr>
      <w:r>
        <w:rPr>
          <w:rFonts w:ascii="Georgia" w:cs="Georgia" w:eastAsia="Georgia" w:hAnsi="Georgia"/>
          <w:b/>
          <w:bCs/>
          <w:color w:val="333333"/>
          <w:sz w:val="26"/>
          <w:szCs w:val="26"/>
        </w:rPr>
        <w:t xml:space="preserve">12.1 Data Analytics for Journal Entry Testing</w:t>
      </w:r>
    </w:p>
    <w:p>
      <w:pPr>
        <w:spacing w:after="150" w:before="0"/>
        <w:jc w:val="both"/>
      </w:pPr>
      <w:r>
        <w:rPr>
          <w:rFonts w:ascii="Calibri" w:cs="Calibri" w:eastAsia="Calibri" w:hAnsi="Calibri"/>
          <w:color w:val="333333"/>
          <w:sz w:val="22"/>
          <w:szCs w:val="22"/>
        </w:rPr>
        <w:t xml:space="preserve">[Company Name] shall implement automated data analytics to identify high-risk journal entries for enhanced review. The analytics shall flag entries meeting any of the following criteria:</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Posted on weekends, holidays, or outside normal business hours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Round-dollar amounts exceeding [threshold] without supporting calculations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Entries to revenue accounts from non-revenue contra accounts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Entries posted by users who do not typically post journal entries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Entries with descriptions containing keywords: adjustment, correction, reclassification, true-up, write-off</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Entries that debit expense and credit revenue (or vice versa) in unusual patterns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Entries posted in the last [3] days of the reporting period exceeding [threshold]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Entries where the preparer and approver are the same individual (SOD violation)</w:t>
      </w:r>
    </w:p>
    <w:p>
      <w:pPr>
        <w:spacing w:after="150" w:before="0"/>
        <w:jc w:val="both"/>
      </w:pPr>
      <w:r>
        <w:rPr>
          <w:rFonts w:ascii="Calibri" w:cs="Calibri" w:eastAsia="Calibri" w:hAnsi="Calibri"/>
          <w:color w:val="333333"/>
          <w:sz w:val="22"/>
          <w:szCs w:val="22"/>
        </w:rPr>
        <w:t xml:space="preserve">Flagged entries shall be reviewed by the Accounting Manager or Controller before the close is finalized. The analytics shall be run monthly and the results documented as part of the close workpapers.</w:t>
      </w:r>
    </w:p>
    <w:p>
      <w:pPr>
        <w:pStyle w:val="Heading2"/>
        <w:spacing w:after="150" w:before="300"/>
      </w:pPr>
      <w:r>
        <w:rPr>
          <w:rFonts w:ascii="Georgia" w:cs="Georgia" w:eastAsia="Georgia" w:hAnsi="Georgia"/>
          <w:b/>
          <w:bCs/>
          <w:color w:val="333333"/>
          <w:sz w:val="26"/>
          <w:szCs w:val="26"/>
        </w:rPr>
        <w:t xml:space="preserve">12.2 Management Override Controls</w:t>
      </w:r>
    </w:p>
    <w:p>
      <w:pPr>
        <w:spacing w:after="150" w:before="0"/>
        <w:jc w:val="both"/>
      </w:pPr>
      <w:r>
        <w:rPr>
          <w:rFonts w:ascii="Calibri" w:cs="Calibri" w:eastAsia="Calibri" w:hAnsi="Calibri"/>
          <w:color w:val="333333"/>
          <w:sz w:val="22"/>
          <w:szCs w:val="22"/>
        </w:rPr>
        <w:t xml:space="preserve">Management override of controls is the most difficult fraud risk to address because it is perpetrated by individuals with the authority to bypass normal controls. The following additional controls shall be maintained to mitigate management override risk:</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All journal entries by the Controller shall be reviewed by the CFO</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All journal entries by the CFO shall be reviewed by the Controller (cross-review)</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The Audit Committee shall receive a quarterly summary of all journal entries exceeding [threshold] posted by senior management</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Internal Audit shall perform surprise testing of management-posted journal entries at least semi-annually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Significant estimates (reserves, allowances, fair values) shall be independently validated using alternative data sources or methodologies</w:t>
      </w:r>
    </w:p>
    <w:p>
      <w:pPr>
        <w:pStyle w:val="Heading2"/>
        <w:spacing w:after="150" w:before="300"/>
      </w:pPr>
      <w:r>
        <w:rPr>
          <w:rFonts w:ascii="Georgia" w:cs="Georgia" w:eastAsia="Georgia" w:hAnsi="Georgia"/>
          <w:b/>
          <w:bCs/>
          <w:color w:val="333333"/>
          <w:sz w:val="26"/>
          <w:szCs w:val="26"/>
        </w:rPr>
        <w:t xml:space="preserve">12.3 Automated Journal Entry Workflow</w:t>
      </w:r>
    </w:p>
    <w:p>
      <w:pPr>
        <w:spacing w:after="150" w:before="0"/>
        <w:jc w:val="both"/>
      </w:pPr>
      <w:r>
        <w:rPr>
          <w:rFonts w:ascii="Calibri" w:cs="Calibri" w:eastAsia="Calibri" w:hAnsi="Calibri"/>
          <w:color w:val="333333"/>
          <w:sz w:val="22"/>
          <w:szCs w:val="22"/>
        </w:rPr>
        <w:t xml:space="preserve">The ERP system shall be configured with the following automated controls for journal entries: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Auto-balance enforcement — the system shall not accept an unbalanced entry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Required fields — entry date, posting period, description, and supporting reference shall be mandatory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Period control — entries cannot be posted to closed periods without system administrator intervention (logged and reported)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Approval routing — entries are automatically routed to the appropriate approver based on amount, account type, and preparer</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Duplicate detection — the system shall flag entries with the same amount, date, and accounts as a potential duplicate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Audit trail — the system shall maintain an immutable log of all entry creation, modification, and approval actions</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13. Financial Statement Preparation</w:t>
      </w:r>
    </w:p>
    <w:p>
      <w:pPr>
        <w:pStyle w:val="Heading2"/>
        <w:spacing w:after="150" w:before="300"/>
      </w:pPr>
      <w:r>
        <w:rPr>
          <w:rFonts w:ascii="Georgia" w:cs="Georgia" w:eastAsia="Georgia" w:hAnsi="Georgia"/>
          <w:b/>
          <w:bCs/>
          <w:color w:val="333333"/>
          <w:sz w:val="26"/>
          <w:szCs w:val="26"/>
        </w:rPr>
        <w:t xml:space="preserve">13.1 Trial Balance Review</w:t>
      </w:r>
    </w:p>
    <w:p>
      <w:pPr>
        <w:spacing w:after="150" w:before="0"/>
        <w:jc w:val="both"/>
      </w:pPr>
      <w:r>
        <w:rPr>
          <w:rFonts w:ascii="Calibri" w:cs="Calibri" w:eastAsia="Calibri" w:hAnsi="Calibri"/>
          <w:color w:val="333333"/>
          <w:sz w:val="22"/>
          <w:szCs w:val="22"/>
        </w:rPr>
        <w:t xml:space="preserve">Before financial statements are prepared, the Controller shall review the final trial balance for:</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All balance sheet accounts have been reconciled with the reconciliation signed off</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No accounts have unusual balances (debit balances in liability accounts, credit balances in asset accounts)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All intercompany accounts net to zero at the consolidated level</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The trial balance is in balance (total debits equal total credits)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All post-close adjustments have been recorded and approved</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The period has been soft-closed to prevent additional postings during financial statement preparation</w:t>
      </w:r>
    </w:p>
    <w:p>
      <w:pPr>
        <w:pStyle w:val="Heading2"/>
        <w:spacing w:after="150" w:before="300"/>
      </w:pPr>
      <w:r>
        <w:rPr>
          <w:rFonts w:ascii="Georgia" w:cs="Georgia" w:eastAsia="Georgia" w:hAnsi="Georgia"/>
          <w:b/>
          <w:bCs/>
          <w:color w:val="333333"/>
          <w:sz w:val="26"/>
          <w:szCs w:val="26"/>
        </w:rPr>
        <w:t xml:space="preserve">13.2 Financial Statement Compilation</w:t>
      </w:r>
    </w:p>
    <w:p>
      <w:pPr>
        <w:spacing w:after="150" w:before="0"/>
        <w:jc w:val="both"/>
      </w:pPr>
      <w:r>
        <w:rPr>
          <w:rFonts w:ascii="Calibri" w:cs="Calibri" w:eastAsia="Calibri" w:hAnsi="Calibri"/>
          <w:color w:val="333333"/>
          <w:sz w:val="22"/>
          <w:szCs w:val="22"/>
        </w:rPr>
        <w:t xml:space="preserve">Financial statements shall be compiled from the trial balance using the documented account mapping. The compilation process shall be automated to the extent possible using [reporting tool]. Manual compilation steps shall be documented and verified by a second reviewer. The financial statements shall include: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Income Statement — presented in a multi-step format showing gross profit, operating income, and net income</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Balance Sheet — presented in a classified format showing current and non-current assets, current and non-current liabilities, and equity</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Statement of Cash Flows — presented using the indirect method with proper classification of operating, investing, and financing activities</w:t>
      </w:r>
    </w:p>
    <w:p>
      <w:pPr>
        <w:spacing w:after="80"/>
        <w:ind w:left="720"/>
      </w:pPr>
      <w:r>
        <w:rPr>
          <w:rFonts w:ascii="Calibri" w:cs="Calibri" w:eastAsia="Calibri" w:hAnsi="Calibri"/>
          <w:color w:val="D4AF37"/>
          <w:sz w:val="22"/>
          <w:szCs w:val="22"/>
        </w:rPr>
        <w:t xml:space="preserve">•  </w:t>
      </w:r>
      <w:r>
        <w:rPr>
          <w:rFonts w:ascii="Calibri" w:cs="Calibri" w:eastAsia="Calibri" w:hAnsi="Calibri"/>
          <w:color w:val="333333"/>
          <w:sz w:val="22"/>
          <w:szCs w:val="22"/>
        </w:rPr>
        <w:t xml:space="preserve">Statement of Stockholders Equity — showing changes in equity components for the period</w:t>
      </w:r>
    </w:p>
    <w:p>
      <w:pPr>
        <w:pStyle w:val="Heading2"/>
        <w:spacing w:after="150" w:before="300"/>
      </w:pPr>
      <w:r>
        <w:rPr>
          <w:rFonts w:ascii="Georgia" w:cs="Georgia" w:eastAsia="Georgia" w:hAnsi="Georgia"/>
          <w:b/>
          <w:bCs/>
          <w:color w:val="333333"/>
          <w:sz w:val="26"/>
          <w:szCs w:val="26"/>
        </w:rPr>
        <w:t xml:space="preserve">13.3 Disclosure Checklist</w:t>
      </w:r>
    </w:p>
    <w:p>
      <w:pPr>
        <w:spacing w:after="150" w:before="0"/>
        <w:jc w:val="both"/>
      </w:pPr>
      <w:r>
        <w:rPr>
          <w:rFonts w:ascii="Calibri" w:cs="Calibri" w:eastAsia="Calibri" w:hAnsi="Calibri"/>
          <w:color w:val="333333"/>
          <w:sz w:val="22"/>
          <w:szCs w:val="22"/>
        </w:rPr>
        <w:t xml:space="preserve">The Controller shall maintain a disclosure checklist updated annually for new GAAP requirements. The checklist shall be completed each quarter and annually to ensure all required footnote disclosures are addressed. The checklist shall reference the specific ASC topic for each disclosure requirement and indicate whether the disclosure is applicable to [Company Name].</w:t>
      </w:r>
    </w:p>
    <w:p>
      <w:pPr>
        <w:pStyle w:val="Heading2"/>
        <w:spacing w:after="150" w:before="300"/>
      </w:pPr>
      <w:r>
        <w:rPr>
          <w:rFonts w:ascii="Georgia" w:cs="Georgia" w:eastAsia="Georgia" w:hAnsi="Georgia"/>
          <w:b/>
          <w:bCs/>
          <w:color w:val="333333"/>
          <w:sz w:val="26"/>
          <w:szCs w:val="26"/>
        </w:rPr>
        <w:t xml:space="preserve">13.4 Subsequent Events Review</w:t>
      </w:r>
    </w:p>
    <w:p>
      <w:pPr>
        <w:spacing w:after="150" w:before="0"/>
        <w:jc w:val="both"/>
      </w:pPr>
      <w:r>
        <w:rPr>
          <w:rFonts w:ascii="Calibri" w:cs="Calibri" w:eastAsia="Calibri" w:hAnsi="Calibri"/>
          <w:color w:val="333333"/>
          <w:sz w:val="22"/>
          <w:szCs w:val="22"/>
        </w:rPr>
        <w:t xml:space="preserve">Before financial statements are issued, the Controller shall evaluate subsequent events per ASC 855. The evaluation period extends from the balance sheet date to the date the financial statements are issued (or available to be issued). Type I events (recognized) require adjustment; Type II events (non-recognized) require disclosure. The subsequent events review shall be documented and signed by the Controller.</w:t>
      </w:r>
    </w:p>
    <w:p>
      <w:r>
        <w:br w:type="page"/>
      </w:r>
    </w:p>
    <w:p>
      <w:pPr>
        <w:pStyle w:val="Heading1"/>
        <w:pBdr>
          <w:bottom w:val="single" w:color="D4AF37" w:sz="4"/>
        </w:pBdr>
        <w:spacing w:after="200" w:before="400"/>
      </w:pPr>
      <w:r>
        <w:rPr>
          <w:rFonts w:ascii="Georgia" w:cs="Georgia" w:eastAsia="Georgia" w:hAnsi="Georgia"/>
          <w:b/>
          <w:bCs/>
          <w:color w:val="0C0C0C"/>
          <w:sz w:val="32"/>
          <w:szCs w:val="3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shd w:fill="0C0C0C" w:val="clear"/>
          </w:tcPr>
          <w:p>
            <w:pPr>
              <w:spacing w:after="60" w:before="60"/>
            </w:pPr>
            <w:r>
              <w:rPr>
                <w:rFonts w:ascii="Calibri" w:cs="Calibri" w:eastAsia="Calibri" w:hAnsi="Calibri"/>
                <w:b/>
                <w:bCs/>
                <w:color w:val="D4AF37"/>
                <w:sz w:val="20"/>
                <w:szCs w:val="20"/>
              </w:rPr>
              <w:t xml:space="preserve">Version</w:t>
            </w:r>
          </w:p>
        </w:tc>
        <w:tc>
          <w:tcPr>
            <w:tcW w:type="dxa" w:w="2400"/>
            <w:shd w:fill="0C0C0C" w:val="clear"/>
          </w:tcPr>
          <w:p>
            <w:pPr>
              <w:spacing w:after="60" w:before="60"/>
            </w:pPr>
            <w:r>
              <w:rPr>
                <w:rFonts w:ascii="Calibri" w:cs="Calibri" w:eastAsia="Calibri" w:hAnsi="Calibri"/>
                <w:b/>
                <w:bCs/>
                <w:color w:val="D4AF37"/>
                <w:sz w:val="20"/>
                <w:szCs w:val="20"/>
              </w:rPr>
              <w:t xml:space="preserve">Date</w:t>
            </w:r>
          </w:p>
        </w:tc>
        <w:tc>
          <w:tcPr>
            <w:tcW w:type="dxa" w:w="4560"/>
            <w:shd w:fill="0C0C0C" w:val="clear"/>
          </w:tcPr>
          <w:p>
            <w:pPr>
              <w:spacing w:after="60" w:before="60"/>
            </w:pPr>
            <w:r>
              <w:rPr>
                <w:rFonts w:ascii="Calibri" w:cs="Calibri" w:eastAsia="Calibri" w:hAnsi="Calibri"/>
                <w:b/>
                <w:bCs/>
                <w:color w:val="D4AF37"/>
                <w:sz w:val="20"/>
                <w:szCs w:val="20"/>
              </w:rPr>
              <w:t xml:space="preserve">Description</w:t>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1.0</w:t>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[Effective Date]</w:t>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Initial policy document</w:t>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
            </w:r>
          </w:p>
        </w:tc>
      </w:tr>
      <w:tr>
        <w:tc>
          <w:tcPr>
            <w:tcW w:type="dxa" w:w="2400"/>
            <w:shd w:fill="FFFFFF" w:val="clear"/>
          </w:tcPr>
          <w:p>
            <w:pPr>
              <w:spacing w:after="60" w:before="60"/>
            </w:pPr>
            <w:r>
              <w:rPr>
                <w:rFonts w:ascii="Calibri" w:cs="Calibri" w:eastAsia="Calibri" w:hAnsi="Calibri"/>
                <w:b w:val="false"/>
                <w:bCs w:val="false"/>
                <w:color w:val="333333"/>
                <w:sz w:val="20"/>
                <w:szCs w:val="20"/>
              </w:rPr>
              <w:t xml:space="preserve"/>
            </w:r>
          </w:p>
        </w:tc>
        <w:tc>
          <w:tcPr>
            <w:tcW w:type="dxa" w:w="2400"/>
            <w:shd w:fill="FFFFFF" w:val="clear"/>
          </w:tcPr>
          <w:p>
            <w:pPr>
              <w:spacing w:after="60" w:before="60"/>
            </w:pPr>
            <w:r>
              <w:rPr>
                <w:rFonts w:ascii="Calibri" w:cs="Calibri" w:eastAsia="Calibri" w:hAnsi="Calibri"/>
                <w:b w:val="false"/>
                <w:bCs w:val="false"/>
                <w:color w:val="333333"/>
                <w:sz w:val="20"/>
                <w:szCs w:val="20"/>
              </w:rPr>
              <w:t xml:space="preserve"/>
            </w:r>
          </w:p>
        </w:tc>
        <w:tc>
          <w:tcPr>
            <w:tcW w:type="dxa" w:w="4560"/>
            <w:shd w:fill="FFFFFF" w:val="clear"/>
          </w:tcPr>
          <w:p>
            <w:pPr>
              <w:spacing w:after="60" w:before="60"/>
            </w:pPr>
            <w:r>
              <w:rPr>
                <w:rFonts w:ascii="Calibri" w:cs="Calibri" w:eastAsia="Calibri" w:hAnsi="Calibri"/>
                <w:b w:val="false"/>
                <w:bCs w:val="false"/>
                <w:color w:val="333333"/>
                <w:sz w:val="20"/>
                <w:szCs w:val="20"/>
              </w:rPr>
              <w:t xml:space="preserve"/>
            </w:r>
          </w:p>
        </w:tc>
      </w:tr>
      <w:tr>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2400"/>
            <w:shd w:fill="F5F5F5" w:val="clear"/>
          </w:tcPr>
          <w:p>
            <w:pPr>
              <w:spacing w:after="60" w:before="60"/>
            </w:pPr>
            <w:r>
              <w:rPr>
                <w:rFonts w:ascii="Calibri" w:cs="Calibri" w:eastAsia="Calibri" w:hAnsi="Calibri"/>
                <w:b w:val="false"/>
                <w:bCs w:val="false"/>
                <w:color w:val="333333"/>
                <w:sz w:val="20"/>
                <w:szCs w:val="20"/>
              </w:rPr>
              <w:t xml:space="preserve"/>
            </w:r>
          </w:p>
        </w:tc>
        <w:tc>
          <w:tcPr>
            <w:tcW w:type="dxa" w:w="4560"/>
            <w:shd w:fill="F5F5F5" w:val="clear"/>
          </w:tcPr>
          <w:p>
            <w:pPr>
              <w:spacing w:after="60" w:before="60"/>
            </w:pPr>
            <w:r>
              <w:rPr>
                <w:rFonts w:ascii="Calibri" w:cs="Calibri" w:eastAsia="Calibri" w:hAnsi="Calibri"/>
                <w:b w:val="false"/>
                <w:bCs w:val="false"/>
                <w:color w:val="333333"/>
                <w:sz w:val="20"/>
                <w:szCs w:val="20"/>
              </w:rPr>
              <w:t xml:space="preserve"/>
            </w:r>
          </w:p>
        </w:tc>
      </w:tr>
    </w:tbl>
    <w:p>
      <w:pPr>
        <w:spacing w:after="150" w:before="0"/>
        <w:jc w:val="both"/>
      </w:pPr>
      <w:r>
        <w:rPr>
          <w:rFonts w:ascii="Calibri" w:cs="Calibri" w:eastAsia="Calibri" w:hAnsi="Calibri"/>
          <w:color w:val="333333"/>
          <w:sz w:val="22"/>
          <w:szCs w:val="2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shd w:fill="0C0C0C" w:val="clear"/>
          </w:tcPr>
          <w:p>
            <w:pPr>
              <w:spacing w:after="60" w:before="60"/>
            </w:pPr>
            <w:r>
              <w:rPr>
                <w:rFonts w:ascii="Calibri" w:cs="Calibri" w:eastAsia="Calibri" w:hAnsi="Calibri"/>
                <w:b/>
                <w:bCs/>
                <w:color w:val="D4AF37"/>
                <w:sz w:val="20"/>
                <w:szCs w:val="20"/>
              </w:rPr>
              <w:t xml:space="preserve">Role</w:t>
            </w:r>
          </w:p>
        </w:tc>
        <w:tc>
          <w:tcPr>
            <w:tcW w:type="dxa" w:w="6160"/>
            <w:shd w:fill="0C0C0C" w:val="clear"/>
          </w:tcPr>
          <w:p>
            <w:pPr>
              <w:spacing w:after="60" w:before="60"/>
            </w:pPr>
            <w:r>
              <w:rPr>
                <w:rFonts w:ascii="Calibri" w:cs="Calibri" w:eastAsia="Calibri" w:hAnsi="Calibri"/>
                <w:b/>
                <w:bCs/>
                <w:color w:val="D4AF37"/>
                <w:sz w:val="20"/>
                <w:szCs w:val="20"/>
              </w:rPr>
              <w:t xml:space="preserve">Name / Signature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Prepared By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[Name], [Title]</w:t>
            </w:r>
          </w:p>
        </w:tc>
      </w:tr>
      <w:tr>
        <w:tc>
          <w:tcPr>
            <w:tcW w:type="dxa" w:w="3200"/>
            <w:shd w:fill="F5F5F5" w:val="clear"/>
          </w:tcPr>
          <w:p>
            <w:pPr>
              <w:spacing w:after="60" w:before="60"/>
            </w:pPr>
            <w:r>
              <w:rPr>
                <w:rFonts w:ascii="Calibri" w:cs="Calibri" w:eastAsia="Calibri" w:hAnsi="Calibri"/>
                <w:b w:val="false"/>
                <w:bCs w:val="false"/>
                <w:color w:val="333333"/>
                <w:sz w:val="20"/>
                <w:szCs w:val="20"/>
              </w:rPr>
              <w:t xml:space="preserve">Reviewed By</w:t>
            </w:r>
          </w:p>
        </w:tc>
        <w:tc>
          <w:tcPr>
            <w:tcW w:type="dxa" w:w="6160"/>
            <w:shd w:fill="F5F5F5" w:val="clear"/>
          </w:tcPr>
          <w:p>
            <w:pPr>
              <w:spacing w:after="60" w:before="60"/>
            </w:pPr>
            <w:r>
              <w:rPr>
                <w:rFonts w:ascii="Calibri" w:cs="Calibri" w:eastAsia="Calibri" w:hAnsi="Calibri"/>
                <w:b w:val="false"/>
                <w:bCs w:val="false"/>
                <w:color w:val="333333"/>
                <w:sz w:val="20"/>
                <w:szCs w:val="20"/>
              </w:rPr>
              <w:t xml:space="preserve">[Name], [Title]</w:t>
            </w:r>
          </w:p>
        </w:tc>
      </w:tr>
      <w:tr>
        <w:tc>
          <w:tcPr>
            <w:tcW w:type="dxa" w:w="3200"/>
            <w:shd w:fill="FFFFFF" w:val="clear"/>
          </w:tcPr>
          <w:p>
            <w:pPr>
              <w:spacing w:after="60" w:before="60"/>
            </w:pPr>
            <w:r>
              <w:rPr>
                <w:rFonts w:ascii="Calibri" w:cs="Calibri" w:eastAsia="Calibri" w:hAnsi="Calibri"/>
                <w:b w:val="false"/>
                <w:bCs w:val="false"/>
                <w:color w:val="333333"/>
                <w:sz w:val="20"/>
                <w:szCs w:val="20"/>
              </w:rPr>
              <w:t xml:space="preserve">Approved By</w:t>
            </w:r>
          </w:p>
        </w:tc>
        <w:tc>
          <w:tcPr>
            <w:tcW w:type="dxa" w:w="6160"/>
            <w:shd w:fill="FFFFFF" w:val="clear"/>
          </w:tcPr>
          <w:p>
            <w:pPr>
              <w:spacing w:after="60" w:before="60"/>
            </w:pPr>
            <w:r>
              <w:rPr>
                <w:rFonts w:ascii="Calibri" w:cs="Calibri" w:eastAsia="Calibri" w:hAnsi="Calibri"/>
                <w:b w:val="false"/>
                <w:bCs w:val="false"/>
                <w:color w:val="333333"/>
                <w:sz w:val="20"/>
                <w:szCs w:val="20"/>
              </w:rPr>
              <w:t xml:space="preserve">[CFO Name], Chief Financial Officer</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A2A2A" w:sz="2"/>
      </w:pBdr>
      <w:spacing w:before="100"/>
      <w:jc w:val="center"/>
    </w:pPr>
    <w:r>
      <w:rPr>
        <w:rFonts w:ascii="Calibri" w:cs="Calibri" w:eastAsia="Calibri" w:hAnsi="Calibri"/>
        <w:color w:val="9CA3AF"/>
        <w:sz w:val="16"/>
        <w:szCs w:val="16"/>
      </w:rPr>
      <w:t xml:space="preserve">Confidential — [Company Name]  |  Page </w:t>
    </w:r>
    <w:r>
      <w:rPr>
        <w:rFonts w:ascii="Calibri" w:cs="Calibri" w:eastAsia="Calibri" w:hAnsi="Calibri"/>
        <w:color w:val="9CA3AF"/>
        <w:sz w:val="16"/>
        <w:szCs w:val="16"/>
      </w:rPr>
      <w:fldChar w:fldCharType="begin"/>
      <w:instrText xml:space="preserve">PAGE</w:instrText>
      <w:fldChar w:fldCharType="separate"/>
      <w:fldChar w:fldCharType="end"/>
    </w:r>
    <w:r>
      <w:rPr>
        <w:rFonts w:ascii="Calibri" w:cs="Calibri" w:eastAsia="Calibri" w:hAnsi="Calibri"/>
        <w:color w:val="9CA3AF"/>
        <w:sz w:val="16"/>
        <w:szCs w:val="16"/>
      </w:rPr>
      <w:t xml:space="preserve"> of </w:t>
    </w:r>
    <w:r>
      <w:rPr>
        <w:rFonts w:ascii="Calibri" w:cs="Calibri" w:eastAsia="Calibri" w:hAnsi="Calibri"/>
        <w:color w:val="9CA3AF"/>
        <w:sz w:val="16"/>
        <w:szCs w:val="16"/>
      </w:rPr>
      <w:fldChar w:fldCharType="begin"/>
      <w:instrText xml:space="preserve">NUMPAGES</w:instrText>
      <w:fldChar w:fldCharType="separate"/>
      <w:fldChar w:fldCharType="end"/>
    </w:r>
    <w:r>
      <w:rPr>
        <w:rFonts w:ascii="Calibri" w:cs="Calibri" w:eastAsia="Calibri" w:hAnsi="Calibri"/>
        <w:color w:val="D4AF37"/>
        <w:sz w:val="16"/>
        <w:szCs w:val="16"/>
      </w:rPr>
      <w:t xml:space="preserve">  |  EFuturesCFO.com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9CA3AF"/>
        <w:sz w:val="16"/>
        <w:szCs w:val="16"/>
      </w:rPr>
      <w:t xml:space="preserve">[Company Name]</w:t>
    </w:r>
    <w:r>
      <w:rPr>
        <w:rFonts w:ascii="Calibri" w:cs="Calibri" w:eastAsia="Calibri" w:hAnsi="Calibri"/>
        <w:color w:val="9CA3AF"/>
        <w:sz w:val="16"/>
        <w:szCs w:val="16"/>
      </w:rPr>
      <w:t xml:space="preserve">  |  </w:t>
    </w:r>
    <w:r>
      <w:rPr>
        <w:rFonts w:ascii="Calibri" w:cs="Calibri" w:eastAsia="Calibri" w:hAnsi="Calibri"/>
        <w:i/>
        <w:iCs/>
        <w:color w:val="9CA3AF"/>
        <w:sz w:val="16"/>
        <w:szCs w:val="16"/>
      </w:rPr>
      <w:t xml:space="preserve">General Ledger &amp; Journal Entry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Georgia" w:cs="Georgia" w:eastAsia="Georgia" w:hAnsi="Georgia"/>
      <w:b/>
      <w:bCs/>
      <w:color w:val="0C0C0C"/>
      <w:sz w:val="32"/>
      <w:szCs w:val="32"/>
    </w:rPr>
  </w:style>
  <w:style w:type="paragraph" w:styleId="Heading2">
    <w:name w:val="Heading 2"/>
    <w:basedOn w:val="Normal"/>
    <w:next w:val="Normal"/>
    <w:qFormat/>
    <w:rPr>
      <w:rFonts w:ascii="Georgia" w:cs="Georgia" w:eastAsia="Georgia" w:hAnsi="Georgia"/>
      <w:b/>
      <w:bCs/>
      <w:color w:val="333333"/>
      <w:sz w:val="26"/>
      <w:szCs w:val="26"/>
    </w:rPr>
  </w:style>
  <w:style w:type="paragraph" w:styleId="Heading3">
    <w:name w:val="Heading 3"/>
    <w:basedOn w:val="Normal"/>
    <w:next w:val="Normal"/>
    <w:qFormat/>
    <w:rPr>
      <w:rFonts w:ascii="Georgia" w:cs="Georgia" w:eastAsia="Georgia" w:hAnsi="Georgia"/>
      <w:b/>
      <w:bCs/>
      <w:color w:val="444444"/>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2026-07-13T05:00:46.097Z</dcterms:created>
  <dcterms:modified xsi:type="dcterms:W3CDTF">2026-07-13T05:00:46.097Z</dcterms:modified>
</cp:coreProperties>
</file>

<file path=docProps/custom.xml><?xml version="1.0" encoding="utf-8"?>
<Properties xmlns="http://schemas.openxmlformats.org/officeDocument/2006/custom-properties" xmlns:vt="http://schemas.openxmlformats.org/officeDocument/2006/docPropsVTypes"/>
</file>