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0"/>
      </w:pPr>
    </w:p>
    <w:p>
      <w:pPr>
        <w:spacing w:after="200"/>
        <w:jc w:val="center"/>
      </w:pPr>
      <w:r>
        <w:rPr>
          <w:rFonts w:ascii="Georgia" w:cs="Georgia" w:eastAsia="Georgia" w:hAnsi="Georgia"/>
          <w:b/>
          <w:bCs/>
          <w:color w:val="D4AF37"/>
          <w:sz w:val="56"/>
          <w:szCs w:val="56"/>
        </w:rPr>
        <w:t xml:space="preserve">EFuturesCFO</w:t>
      </w:r>
    </w:p>
    <w:p>
      <w:pPr>
        <w:spacing w:after="100"/>
        <w:jc w:val="center"/>
      </w:pPr>
      <w:r>
        <w:rPr>
          <w:rFonts w:ascii="Calibri" w:cs="Calibri" w:eastAsia="Calibri" w:hAnsi="Calibri"/>
          <w:color w:val="9CA3AF"/>
          <w:sz w:val="24"/>
          <w:szCs w:val="24"/>
        </w:rPr>
        <w:t xml:space="preserve">Executive Decision Tools</w:t>
      </w:r>
    </w:p>
    <w:p>
      <w:pPr>
        <w:pBdr>
          <w:bottom w:val="single" w:color="D4AF37" w:sz="6"/>
        </w:pBdr>
        <w:spacing w:after="600"/>
        <w:jc w:val="center"/>
      </w:pPr>
      <w:r>
        <w:rPr>
          <w:sz w:val="12"/>
          <w:szCs w:val="12"/>
        </w:rPr>
        <w:t xml:space="preserve"> </w:t>
      </w:r>
    </w:p>
    <w:p>
      <w:pPr>
        <w:spacing w:after="400"/>
      </w:pPr>
    </w:p>
    <w:p>
      <w:pPr>
        <w:spacing w:after="200"/>
        <w:jc w:val="center"/>
      </w:pPr>
      <w:r>
        <w:rPr>
          <w:rFonts w:ascii="Georgia" w:cs="Georgia" w:eastAsia="Georgia" w:hAnsi="Georgia"/>
          <w:b/>
          <w:bCs/>
          <w:color w:val="0C0C0C"/>
          <w:sz w:val="48"/>
          <w:szCs w:val="48"/>
        </w:rPr>
        <w:t xml:space="preserve">Accounts Receivable &amp; Credit Policy</w:t>
      </w:r>
    </w:p>
    <w:p>
      <w:pPr>
        <w:spacing w:after="200"/>
        <w:jc w:val="center"/>
      </w:pPr>
      <w:r>
        <w:rPr>
          <w:rFonts w:ascii="Calibri" w:cs="Calibri" w:eastAsia="Calibri" w:hAnsi="Calibri"/>
          <w:color w:val="666666"/>
          <w:sz w:val="28"/>
          <w:szCs w:val="28"/>
        </w:rPr>
        <w:t xml:space="preserve">Policy &amp; Procedures Manual</w:t>
      </w:r>
    </w:p>
    <w:p>
      <w:pPr>
        <w:spacing w:after="2000"/>
      </w:pPr>
    </w:p>
    <w:p>
      <w:pPr>
        <w:spacing w:after="100"/>
        <w:jc w:val="center"/>
      </w:pPr>
      <w:r>
        <w:rPr>
          <w:rFonts w:ascii="Calibri" w:cs="Calibri" w:eastAsia="Calibri" w:hAnsi="Calibri"/>
          <w:b/>
          <w:bCs/>
          <w:color w:val="0C0C0C"/>
          <w:sz w:val="28"/>
          <w:szCs w:val="28"/>
        </w:rPr>
        <w:t xml:space="preserve">[Company Name]</w:t>
      </w:r>
    </w:p>
    <w:p>
      <w:pPr>
        <w:spacing w:after="100"/>
        <w:jc w:val="center"/>
      </w:pPr>
      <w:r>
        <w:rPr>
          <w:rFonts w:ascii="Calibri" w:cs="Calibri" w:eastAsia="Calibri" w:hAnsi="Calibri"/>
          <w:color w:val="9CA3AF"/>
          <w:sz w:val="22"/>
          <w:szCs w:val="22"/>
        </w:rPr>
        <w:t xml:space="preserve">Policy Document — Confidential</w:t>
      </w:r>
    </w:p>
    <w:p>
      <w:pPr>
        <w:spacing w:after="100"/>
        <w:jc w:val="center"/>
      </w:pPr>
      <w:r>
        <w:rPr>
          <w:rFonts w:ascii="Calibri" w:cs="Calibri" w:eastAsia="Calibri" w:hAnsi="Calibri"/>
          <w:color w:val="9CA3AF"/>
          <w:sz w:val="20"/>
          <w:szCs w:val="20"/>
        </w:rPr>
        <w:t xml:space="preserve">Effective Date: [Date]  |  Version: 1.0</w:t>
      </w:r>
    </w:p>
    <w:p>
      <w:pPr>
        <w:spacing w:after="100"/>
        <w:jc w:val="center"/>
      </w:pPr>
      <w:r>
        <w:rPr>
          <w:rFonts w:ascii="Calibri" w:cs="Calibri" w:eastAsia="Calibri" w:hAnsi="Calibri"/>
          <w:color w:val="9CA3AF"/>
          <w:sz w:val="20"/>
          <w:szCs w:val="20"/>
        </w:rPr>
        <w:t xml:space="preserve">Owner: [Policy Owner Title]  |  Approved by: [CFO Name]</w:t>
      </w:r>
    </w:p>
    <w:p>
      <w:r>
        <w:br w:type="page"/>
      </w:r>
    </w:p>
    <w:p>
      <w:pPr>
        <w:pStyle w:val="Heading1"/>
        <w:spacing w:after="300"/>
      </w:pPr>
      <w:r>
        <w:rPr>
          <w:rFonts w:ascii="Georgia" w:cs="Georgia" w:eastAsia="Georgia" w:hAnsi="Georgia"/>
          <w:b/>
          <w:bCs/>
          <w:color w:val="0C0C0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 Purpose &amp; Scope</w:t>
      </w:r>
    </w:p>
    <w:p>
      <w:pPr>
        <w:spacing w:after="150" w:before="0"/>
        <w:jc w:val="both"/>
      </w:pPr>
      <w:r>
        <w:rPr>
          <w:rFonts w:ascii="Calibri" w:cs="Calibri" w:eastAsia="Calibri" w:hAnsi="Calibri"/>
          <w:color w:val="333333"/>
          <w:sz w:val="22"/>
          <w:szCs w:val="22"/>
        </w:rPr>
        <w:t xml:space="preserve">This Accounts Receivable and Credit Policy establishes the standards, procedures, and controls governing how [Company Name] extends credit to customers, manages receivable balances, collects outstanding amounts, and reserves for credit losses. The policy ensures that credit risk is managed prudently, collections are pursued systematically, and financial reporting of receivables complies with US GAAP, including ASC 326 (Current Expected Credit Losses — CECL).</w:t>
      </w:r>
    </w:p>
    <w:p>
      <w:pPr>
        <w:spacing w:after="150" w:before="0"/>
        <w:jc w:val="both"/>
      </w:pPr>
      <w:r>
        <w:rPr>
          <w:rFonts w:ascii="Calibri" w:cs="Calibri" w:eastAsia="Calibri" w:hAnsi="Calibri"/>
          <w:color w:val="333333"/>
          <w:sz w:val="22"/>
          <w:szCs w:val="22"/>
        </w:rPr>
        <w:t xml:space="preserve">This policy applies to all trade receivables, contract receivables, and other amounts owed to [Company Name] by customers, distributors, and other commercial counterparties across all business units and subsidiaries.</w:t>
      </w:r>
    </w:p>
    <w:p>
      <w:pPr>
        <w:pStyle w:val="Heading2"/>
        <w:spacing w:after="150" w:before="300"/>
      </w:pPr>
      <w:r>
        <w:rPr>
          <w:rFonts w:ascii="Georgia" w:cs="Georgia" w:eastAsia="Georgia" w:hAnsi="Georgia"/>
          <w:b/>
          <w:bCs/>
          <w:color w:val="333333"/>
          <w:sz w:val="26"/>
          <w:szCs w:val="26"/>
        </w:rPr>
        <w:t xml:space="preserve">1.1 Objectives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Optimize revenue collection while managing credit risk within defined risk appetite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Establish consistent credit evaluation standards for all new and existing customers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Minimize bad debt losses through proactive credit management and timely collections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Ensure accurate reporting of receivables, allowances, and credit losses per ASC 326</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Reduce Days Sales Outstanding (DSO) to the target level while maintaining customer relationships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Comply with all applicable laws governing credit extension, collections, and data privacy</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2.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Term</w:t>
            </w:r>
          </w:p>
        </w:tc>
        <w:tc>
          <w:tcPr>
            <w:tcW w:type="dxa" w:w="6160"/>
            <w:shd w:fill="0C0C0C" w:val="clear"/>
          </w:tcPr>
          <w:p>
            <w:pPr>
              <w:spacing w:after="60" w:before="60"/>
            </w:pPr>
            <w:r>
              <w:rPr>
                <w:rFonts w:ascii="Calibri" w:cs="Calibri" w:eastAsia="Calibri" w:hAnsi="Calibri"/>
                <w:b/>
                <w:bCs/>
                <w:color w:val="D4AF37"/>
                <w:sz w:val="20"/>
                <w:szCs w:val="20"/>
              </w:rPr>
              <w:t xml:space="preserve">Definition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Credit Limit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maximum amount of outstanding credit [Company Name] will extend to a customer at any point in time.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Credit Terms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payment conditions offered to a customer (e.g., Net 30, Net 60, 2/10 Net 30).</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DSO</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Days Sales Outstanding — the average number of days to collect payment after invoicing.</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CECL</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Current Expected Credit Losses model per ASC 326, requiring recognition of expected losses over the life of the receivable.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Allowance for Doubtful Accounts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contra-asset account representing the estimated amount of receivables not expected to be collected.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Write-Off</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removal of a receivable from the books when collection is no longer expected.</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Credit Hold</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temporary suspension of order processing or shipment when a customer exceeds their credit limit or has significantly past-due balances.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Aging Bucket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classification of receivables by the number of days past the invoice due date (current, 1-30, 31-60, 61-90, 90+).</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Cash Application</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process of matching incoming customer payments to specific invoices.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Collection Effectiveness Index (CEI)</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metric measuring how effectively the company collects receivables within a given period.</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3. Policy Statements</w:t>
      </w:r>
    </w:p>
    <w:p>
      <w:pPr>
        <w:pStyle w:val="Heading2"/>
        <w:spacing w:after="150" w:before="300"/>
      </w:pPr>
      <w:r>
        <w:rPr>
          <w:rFonts w:ascii="Georgia" w:cs="Georgia" w:eastAsia="Georgia" w:hAnsi="Georgia"/>
          <w:b/>
          <w:bCs/>
          <w:color w:val="333333"/>
          <w:sz w:val="26"/>
          <w:szCs w:val="26"/>
        </w:rPr>
        <w:t xml:space="preserve">3.1 Credit Extension</w:t>
      </w:r>
    </w:p>
    <w:p>
      <w:pPr>
        <w:spacing w:after="150" w:before="0"/>
        <w:jc w:val="both"/>
      </w:pPr>
      <w:r>
        <w:rPr>
          <w:rFonts w:ascii="Calibri" w:cs="Calibri" w:eastAsia="Calibri" w:hAnsi="Calibri"/>
          <w:color w:val="333333"/>
          <w:sz w:val="22"/>
          <w:szCs w:val="22"/>
        </w:rPr>
        <w:t xml:space="preserve">Credit shall be extended only to customers who have completed the credit evaluation process and received an approved credit limit. No goods shall be shipped or services rendered on credit terms without an approved credit limit on file. Cash-in-advance terms shall be required for customers who do not qualify for credit.</w:t>
      </w:r>
    </w:p>
    <w:p>
      <w:pPr>
        <w:pStyle w:val="Heading2"/>
        <w:spacing w:after="150" w:before="300"/>
      </w:pPr>
      <w:r>
        <w:rPr>
          <w:rFonts w:ascii="Georgia" w:cs="Georgia" w:eastAsia="Georgia" w:hAnsi="Georgia"/>
          <w:b/>
          <w:bCs/>
          <w:color w:val="333333"/>
          <w:sz w:val="26"/>
          <w:szCs w:val="26"/>
        </w:rPr>
        <w:t xml:space="preserve">3.2 Credit Evaluation</w:t>
      </w:r>
    </w:p>
    <w:p>
      <w:pPr>
        <w:spacing w:after="150" w:before="0"/>
        <w:jc w:val="both"/>
      </w:pPr>
      <w:r>
        <w:rPr>
          <w:rFonts w:ascii="Calibri" w:cs="Calibri" w:eastAsia="Calibri" w:hAnsi="Calibri"/>
          <w:color w:val="333333"/>
          <w:sz w:val="22"/>
          <w:szCs w:val="22"/>
        </w:rPr>
        <w:t xml:space="preserve">All new customers requesting credit terms shall undergo a credit evaluation before orders are accepted. The evaluation shall include: review of financial statements (for requests exceeding [threshold]), trade references, credit bureau reports (Dun &amp; Bradstreet, Experian Business), payment history with [Company Name] (if applicable), and industry and economic conditions. Credit evaluations shall be refreshed annually for customers with credit limits exceeding [threshold] and whenever material adverse information is received.</w:t>
      </w:r>
    </w:p>
    <w:p>
      <w:pPr>
        <w:pStyle w:val="Heading2"/>
        <w:spacing w:after="150" w:before="300"/>
      </w:pPr>
      <w:r>
        <w:rPr>
          <w:rFonts w:ascii="Georgia" w:cs="Georgia" w:eastAsia="Georgia" w:hAnsi="Georgia"/>
          <w:b/>
          <w:bCs/>
          <w:color w:val="333333"/>
          <w:sz w:val="26"/>
          <w:szCs w:val="26"/>
        </w:rPr>
        <w:t xml:space="preserve">3.3 Credit Approval Authority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Credit Limit Range</w:t>
            </w:r>
          </w:p>
        </w:tc>
        <w:tc>
          <w:tcPr>
            <w:tcW w:type="dxa" w:w="2400"/>
            <w:shd w:fill="0C0C0C" w:val="clear"/>
          </w:tcPr>
          <w:p>
            <w:pPr>
              <w:spacing w:after="60" w:before="60"/>
            </w:pPr>
            <w:r>
              <w:rPr>
                <w:rFonts w:ascii="Calibri" w:cs="Calibri" w:eastAsia="Calibri" w:hAnsi="Calibri"/>
                <w:b/>
                <w:bCs/>
                <w:color w:val="D4AF37"/>
                <w:sz w:val="20"/>
                <w:szCs w:val="20"/>
              </w:rPr>
              <w:t xml:space="preserve">Approver</w:t>
            </w:r>
          </w:p>
        </w:tc>
        <w:tc>
          <w:tcPr>
            <w:tcW w:type="dxa" w:w="4560"/>
            <w:shd w:fill="0C0C0C" w:val="clear"/>
          </w:tcPr>
          <w:p>
            <w:pPr>
              <w:spacing w:after="60" w:before="60"/>
            </w:pPr>
            <w:r>
              <w:rPr>
                <w:rFonts w:ascii="Calibri" w:cs="Calibri" w:eastAsia="Calibri" w:hAnsi="Calibri"/>
                <w:b/>
                <w:bCs/>
                <w:color w:val="D4AF37"/>
                <w:sz w:val="20"/>
                <w:szCs w:val="20"/>
              </w:rPr>
              <w:t xml:space="preserve">Review Frequency</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Up to $25,000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Credit Analyst</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Annual</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$25,001 – $100,000</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Credit Manager</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Annual</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$100,001 – $500,000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Controller</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Semi-annual</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$500,001 – $1,000,000</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CFO</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Semi-annual</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&gt; $1,000,000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CFO + CEO</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Quarterly</w:t>
            </w:r>
          </w:p>
        </w:tc>
      </w:tr>
    </w:tbl>
    <w:p>
      <w:pPr>
        <w:pStyle w:val="Heading2"/>
        <w:spacing w:after="150" w:before="300"/>
      </w:pPr>
      <w:r>
        <w:rPr>
          <w:rFonts w:ascii="Georgia" w:cs="Georgia" w:eastAsia="Georgia" w:hAnsi="Georgia"/>
          <w:b/>
          <w:bCs/>
          <w:color w:val="333333"/>
          <w:sz w:val="26"/>
          <w:szCs w:val="26"/>
        </w:rPr>
        <w:t xml:space="preserve">3.4 Collections</w:t>
      </w:r>
    </w:p>
    <w:p>
      <w:pPr>
        <w:spacing w:after="150" w:before="0"/>
        <w:jc w:val="both"/>
      </w:pPr>
      <w:r>
        <w:rPr>
          <w:rFonts w:ascii="Calibri" w:cs="Calibri" w:eastAsia="Calibri" w:hAnsi="Calibri"/>
          <w:color w:val="333333"/>
          <w:sz w:val="22"/>
          <w:szCs w:val="22"/>
        </w:rPr>
        <w:t xml:space="preserve">[Company Name] shall pursue collection of all outstanding receivables through a structured escalation process. Collections activities shall be professional, courteous, and compliant with applicable laws (Fair Debt Collection Practices Act, state regulations). Customer relationships shall be preserved to the extent possible while ensuring timely payment.</w:t>
      </w:r>
    </w:p>
    <w:p>
      <w:pPr>
        <w:pStyle w:val="Heading2"/>
        <w:spacing w:after="150" w:before="300"/>
      </w:pPr>
      <w:r>
        <w:rPr>
          <w:rFonts w:ascii="Georgia" w:cs="Georgia" w:eastAsia="Georgia" w:hAnsi="Georgia"/>
          <w:b/>
          <w:bCs/>
          <w:color w:val="333333"/>
          <w:sz w:val="26"/>
          <w:szCs w:val="26"/>
        </w:rPr>
        <w:t xml:space="preserve">3.5 Allowance for Credit Losses</w:t>
      </w:r>
    </w:p>
    <w:p>
      <w:pPr>
        <w:spacing w:after="150" w:before="0"/>
        <w:jc w:val="both"/>
      </w:pPr>
      <w:r>
        <w:rPr>
          <w:rFonts w:ascii="Calibri" w:cs="Calibri" w:eastAsia="Calibri" w:hAnsi="Calibri"/>
          <w:color w:val="333333"/>
          <w:sz w:val="22"/>
          <w:szCs w:val="22"/>
        </w:rPr>
        <w:t xml:space="preserve">[Company Name] shall maintain an allowance for expected credit losses in accordance with ASC 326 (CECL). The allowance shall be estimated using historical loss experience, current conditions, and reasonable and supportable forecasts of future economic conditions. The methodology shall be documented, consistently applied, and reviewed quarterly by the Controller.</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4. Roles &amp;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Responsibilities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CFO</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Owns credit risk policy. Approves credit limits above [threshold]. Reviews DSO and bad debt trends. Sets credit risk appetite.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Controller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Oversees the CECL methodology. Approves write-offs above [threshold]. Reviews AR aging and allowance adequacy quarterly.</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Credit Manager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Manages the credit evaluation process. Sets credit limits within authority. Recommends credit holds. Manages the credit scoring model.</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Collections Manager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Oversees the collections process. Manages the collections team. Escalates delinquent accounts. Coordinates with legal for litigation.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AR Specialist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Applies cash receipts. Manages customer inquiries. Performs collections calls per the schedule. Maintains customer payment records.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Sales Team</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Provides customer context for credit decisions. Assists with collections escalation. Notifies AR of customer financial concerns.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Legal</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Supports collections escalation. Manages accounts placed for legal action. Reviews settlement agreements.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FP&amp;A</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Provides economic forecast inputs for CECL estimation. Reports DSO and credit loss trends.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5. Detailed Procedures</w:t>
      </w:r>
    </w:p>
    <w:p>
      <w:pPr>
        <w:pStyle w:val="Heading2"/>
        <w:spacing w:after="150" w:before="300"/>
      </w:pPr>
      <w:r>
        <w:rPr>
          <w:rFonts w:ascii="Georgia" w:cs="Georgia" w:eastAsia="Georgia" w:hAnsi="Georgia"/>
          <w:b/>
          <w:bCs/>
          <w:color w:val="333333"/>
          <w:sz w:val="26"/>
          <w:szCs w:val="26"/>
        </w:rPr>
        <w:t xml:space="preserve">5.1 Credit Evaluation Process</w:t>
      </w:r>
    </w:p>
    <w:p>
      <w:pPr>
        <w:pStyle w:val="Heading3"/>
        <w:spacing w:after="100" w:before="200"/>
      </w:pPr>
      <w:r>
        <w:rPr>
          <w:rFonts w:ascii="Georgia" w:cs="Georgia" w:eastAsia="Georgia" w:hAnsi="Georgia"/>
          <w:b/>
          <w:bCs/>
          <w:color w:val="444444"/>
          <w:sz w:val="22"/>
          <w:szCs w:val="22"/>
        </w:rPr>
        <w:t xml:space="preserve">5.1.1 New Customer Credit Application</w:t>
      </w:r>
    </w:p>
    <w:p>
      <w:pPr>
        <w:spacing w:after="150" w:before="0"/>
        <w:jc w:val="both"/>
      </w:pPr>
      <w:r>
        <w:rPr>
          <w:rFonts w:ascii="Calibri" w:cs="Calibri" w:eastAsia="Calibri" w:hAnsi="Calibri"/>
          <w:color w:val="333333"/>
          <w:sz w:val="22"/>
          <w:szCs w:val="22"/>
        </w:rPr>
        <w:t xml:space="preserve">All new customers requesting credit shall complete a credit application including: legal entity name, trade references (minimum three), bank reference, principal owners (for privately held companies), requested credit amount, and authorization to obtain credit reports. The credit team shall evaluate the application within [5] business days.</w:t>
      </w:r>
    </w:p>
    <w:p>
      <w:pPr>
        <w:pStyle w:val="Heading3"/>
        <w:spacing w:after="100" w:before="200"/>
      </w:pPr>
      <w:r>
        <w:rPr>
          <w:rFonts w:ascii="Georgia" w:cs="Georgia" w:eastAsia="Georgia" w:hAnsi="Georgia"/>
          <w:b/>
          <w:bCs/>
          <w:color w:val="444444"/>
          <w:sz w:val="22"/>
          <w:szCs w:val="22"/>
        </w:rPr>
        <w:t xml:space="preserve">5.1.2 Credit Scoring</w:t>
      </w:r>
    </w:p>
    <w:p>
      <w:pPr>
        <w:spacing w:after="150" w:before="0"/>
        <w:jc w:val="both"/>
      </w:pPr>
      <w:r>
        <w:rPr>
          <w:rFonts w:ascii="Calibri" w:cs="Calibri" w:eastAsia="Calibri" w:hAnsi="Calibri"/>
          <w:color w:val="333333"/>
          <w:sz w:val="22"/>
          <w:szCs w:val="22"/>
        </w:rPr>
        <w:t xml:space="preserve">[Company Name] shall maintain a credit scoring model incorporating: D&amp;B rating, payment history, financial ratio analysis (if financial statements are available), years in business, and industry risk assessment. The composite score shall map to a risk tier that determines the maximum credit limit and payment terms.</w:t>
      </w:r>
    </w:p>
    <w:p>
      <w:pPr>
        <w:pStyle w:val="Heading3"/>
        <w:spacing w:after="100" w:before="200"/>
      </w:pPr>
      <w:r>
        <w:rPr>
          <w:rFonts w:ascii="Georgia" w:cs="Georgia" w:eastAsia="Georgia" w:hAnsi="Georgia"/>
          <w:b/>
          <w:bCs/>
          <w:color w:val="444444"/>
          <w:sz w:val="22"/>
          <w:szCs w:val="22"/>
        </w:rPr>
        <w:t xml:space="preserve">5.1.3 Credit Limit Determination</w:t>
      </w:r>
    </w:p>
    <w:p>
      <w:pPr>
        <w:spacing w:after="150" w:before="0"/>
        <w:jc w:val="both"/>
      </w:pPr>
      <w:r>
        <w:rPr>
          <w:rFonts w:ascii="Calibri" w:cs="Calibri" w:eastAsia="Calibri" w:hAnsi="Calibri"/>
          <w:color w:val="333333"/>
          <w:sz w:val="22"/>
          <w:szCs w:val="22"/>
        </w:rPr>
        <w:t xml:space="preserve">Credit limits shall be set based on the credit score, customer financial capacity, and [Company Name]'s risk appetite. As a general guideline, credit limits should not exceed [10%] of the customer's reported annual revenue or [2x] the expected monthly purchase volume, whichever is lower.</w:t>
      </w:r>
    </w:p>
    <w:p>
      <w:pPr>
        <w:pStyle w:val="Heading2"/>
        <w:spacing w:after="150" w:before="300"/>
      </w:pPr>
      <w:r>
        <w:rPr>
          <w:rFonts w:ascii="Georgia" w:cs="Georgia" w:eastAsia="Georgia" w:hAnsi="Georgia"/>
          <w:b/>
          <w:bCs/>
          <w:color w:val="333333"/>
          <w:sz w:val="26"/>
          <w:szCs w:val="26"/>
        </w:rPr>
        <w:t xml:space="preserve">5.2 Order Management and Credit Holds</w:t>
      </w:r>
    </w:p>
    <w:p>
      <w:pPr>
        <w:spacing w:after="150" w:before="0"/>
        <w:jc w:val="both"/>
      </w:pPr>
      <w:r>
        <w:rPr>
          <w:rFonts w:ascii="Calibri" w:cs="Calibri" w:eastAsia="Calibri" w:hAnsi="Calibri"/>
          <w:color w:val="333333"/>
          <w:sz w:val="22"/>
          <w:szCs w:val="22"/>
        </w:rPr>
        <w:t xml:space="preserve">Orders shall be automatically checked against the customer's credit limit and past-due balance before processing. Orders that would cause the customer to exceed their credit limit or that are placed by customers with balances more than [60] days past due shall be automatically placed on credit hold. Release from credit hold requires Credit Manager approval.</w:t>
      </w:r>
    </w:p>
    <w:p>
      <w:pPr>
        <w:pStyle w:val="Heading2"/>
        <w:spacing w:after="150" w:before="300"/>
      </w:pPr>
      <w:r>
        <w:rPr>
          <w:rFonts w:ascii="Georgia" w:cs="Georgia" w:eastAsia="Georgia" w:hAnsi="Georgia"/>
          <w:b/>
          <w:bCs/>
          <w:color w:val="333333"/>
          <w:sz w:val="26"/>
          <w:szCs w:val="26"/>
        </w:rPr>
        <w:t xml:space="preserve">5.3 Collections Procedures</w:t>
      </w:r>
    </w:p>
    <w:p>
      <w:pPr>
        <w:pStyle w:val="Heading3"/>
        <w:spacing w:after="100" w:before="200"/>
      </w:pPr>
      <w:r>
        <w:rPr>
          <w:rFonts w:ascii="Georgia" w:cs="Georgia" w:eastAsia="Georgia" w:hAnsi="Georgia"/>
          <w:b/>
          <w:bCs/>
          <w:color w:val="444444"/>
          <w:sz w:val="22"/>
          <w:szCs w:val="22"/>
        </w:rPr>
        <w:t xml:space="preserve">5.3.1 Collections Escalation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Days Past Due</w:t>
            </w:r>
          </w:p>
        </w:tc>
        <w:tc>
          <w:tcPr>
            <w:tcW w:type="dxa" w:w="6160"/>
            <w:shd w:fill="0C0C0C" w:val="clear"/>
          </w:tcPr>
          <w:p>
            <w:pPr>
              <w:spacing w:after="60" w:before="60"/>
            </w:pPr>
            <w:r>
              <w:rPr>
                <w:rFonts w:ascii="Calibri" w:cs="Calibri" w:eastAsia="Calibri" w:hAnsi="Calibri"/>
                <w:b/>
                <w:bCs/>
                <w:color w:val="D4AF37"/>
                <w:sz w:val="20"/>
                <w:szCs w:val="20"/>
              </w:rPr>
              <w:t xml:space="preserve">Action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Current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Invoice delivered per agreed terms (email, portal, mail)</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1–15 days past due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Automated payment reminder email</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16–30 days past due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Phone call from AR Specialist; resolve invoice disputes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31–45 days past due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Formal collections letter; Credit Manager review of account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46–60 days past due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Credit hold placed; escalation to Sales relationship owner</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61–90 days past due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Final demand letter; CFO-to-CFO outreach for significant accounts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91–120 days past due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Placement with external collections agency or referral to Legal</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&gt; 120 days past due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Evaluate for write-off per the write-off procedures below</w:t>
            </w:r>
          </w:p>
        </w:tc>
      </w:tr>
    </w:tbl>
    <w:p>
      <w:pPr>
        <w:pStyle w:val="Heading3"/>
        <w:spacing w:after="100" w:before="200"/>
      </w:pPr>
      <w:r>
        <w:rPr>
          <w:rFonts w:ascii="Georgia" w:cs="Georgia" w:eastAsia="Georgia" w:hAnsi="Georgia"/>
          <w:b/>
          <w:bCs/>
          <w:color w:val="444444"/>
          <w:sz w:val="22"/>
          <w:szCs w:val="22"/>
        </w:rPr>
        <w:t xml:space="preserve">5.3.2 Cash Application</w:t>
      </w:r>
    </w:p>
    <w:p>
      <w:pPr>
        <w:spacing w:after="150" w:before="0"/>
        <w:jc w:val="both"/>
      </w:pPr>
      <w:r>
        <w:rPr>
          <w:rFonts w:ascii="Calibri" w:cs="Calibri" w:eastAsia="Calibri" w:hAnsi="Calibri"/>
          <w:color w:val="333333"/>
          <w:sz w:val="22"/>
          <w:szCs w:val="22"/>
        </w:rPr>
        <w:t xml:space="preserve">Cash receipts shall be applied to customer accounts within [1] business day of receipt. Payments shall be applied to the oldest open invoice first (FIFO) unless the customer specifies otherwise. Short payments shall be investigated: if caused by a dispute, route to dispute resolution; if unauthorized deduction, initiate collections on the difference.</w:t>
      </w:r>
    </w:p>
    <w:p>
      <w:pPr>
        <w:pStyle w:val="Heading3"/>
        <w:spacing w:after="100" w:before="200"/>
      </w:pPr>
      <w:r>
        <w:rPr>
          <w:rFonts w:ascii="Georgia" w:cs="Georgia" w:eastAsia="Georgia" w:hAnsi="Georgia"/>
          <w:b/>
          <w:bCs/>
          <w:color w:val="444444"/>
          <w:sz w:val="22"/>
          <w:szCs w:val="22"/>
        </w:rPr>
        <w:t xml:space="preserve">5.3.3 Dispute Resolution</w:t>
      </w:r>
    </w:p>
    <w:p>
      <w:pPr>
        <w:spacing w:after="150" w:before="0"/>
        <w:jc w:val="both"/>
      </w:pPr>
      <w:r>
        <w:rPr>
          <w:rFonts w:ascii="Calibri" w:cs="Calibri" w:eastAsia="Calibri" w:hAnsi="Calibri"/>
          <w:color w:val="333333"/>
          <w:sz w:val="22"/>
          <w:szCs w:val="22"/>
        </w:rPr>
        <w:t xml:space="preserve">Invoice disputes shall be tracked in [system] with categorization (pricing, quantity, quality, delivery, billing error). Each dispute shall have an assigned owner and resolution target of [15] business days. Aged disputes shall be escalated per the escalation schedule.</w:t>
      </w:r>
    </w:p>
    <w:p>
      <w:pPr>
        <w:pStyle w:val="Heading2"/>
        <w:spacing w:after="150" w:before="300"/>
      </w:pPr>
      <w:r>
        <w:rPr>
          <w:rFonts w:ascii="Georgia" w:cs="Georgia" w:eastAsia="Georgia" w:hAnsi="Georgia"/>
          <w:b/>
          <w:bCs/>
          <w:color w:val="333333"/>
          <w:sz w:val="26"/>
          <w:szCs w:val="26"/>
        </w:rPr>
        <w:t xml:space="preserve">5.4 Bad Debt and Write-Off Procedures</w:t>
      </w:r>
    </w:p>
    <w:p>
      <w:pPr>
        <w:pStyle w:val="Heading3"/>
        <w:spacing w:after="100" w:before="200"/>
      </w:pPr>
      <w:r>
        <w:rPr>
          <w:rFonts w:ascii="Georgia" w:cs="Georgia" w:eastAsia="Georgia" w:hAnsi="Georgia"/>
          <w:b/>
          <w:bCs/>
          <w:color w:val="444444"/>
          <w:sz w:val="22"/>
          <w:szCs w:val="22"/>
        </w:rPr>
        <w:t xml:space="preserve">5.4.1 CECL Allowance Methodology</w:t>
      </w:r>
    </w:p>
    <w:p>
      <w:pPr>
        <w:spacing w:after="150" w:before="0"/>
        <w:jc w:val="both"/>
      </w:pPr>
      <w:r>
        <w:rPr>
          <w:rFonts w:ascii="Calibri" w:cs="Calibri" w:eastAsia="Calibri" w:hAnsi="Calibri"/>
          <w:color w:val="333333"/>
          <w:sz w:val="22"/>
          <w:szCs w:val="22"/>
        </w:rPr>
        <w:t xml:space="preserve">[Company Name] estimates expected credit losses using a loss rate methodology applied to the AR aging schedule. The loss rates are derived from historical write-off experience, adjusted for current economic conditions and forward-looking factors. The methodology is documented in the CECL memo, which is reviewed and approved by the Controller quarterly.</w:t>
      </w:r>
    </w:p>
    <w:p>
      <w:pPr>
        <w:pStyle w:val="Heading3"/>
        <w:spacing w:after="100" w:before="200"/>
      </w:pPr>
      <w:r>
        <w:rPr>
          <w:rFonts w:ascii="Georgia" w:cs="Georgia" w:eastAsia="Georgia" w:hAnsi="Georgia"/>
          <w:b/>
          <w:bCs/>
          <w:color w:val="444444"/>
          <w:sz w:val="22"/>
          <w:szCs w:val="22"/>
        </w:rPr>
        <w:t xml:space="preserve">5.4.2 Write-Off Criteria</w:t>
      </w:r>
    </w:p>
    <w:p>
      <w:pPr>
        <w:spacing w:after="150" w:before="0"/>
        <w:jc w:val="both"/>
      </w:pPr>
      <w:r>
        <w:rPr>
          <w:rFonts w:ascii="Calibri" w:cs="Calibri" w:eastAsia="Calibri" w:hAnsi="Calibri"/>
          <w:color w:val="333333"/>
          <w:sz w:val="22"/>
          <w:szCs w:val="22"/>
        </w:rPr>
        <w:t xml:space="preserve">Receivables shall be written off when [Company Name] has exhausted all reasonable collection efforts and recovery is not probable. The following criteria support a write-off determination: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Customer bankruptcy filing with notification from the trustee that no distribution is expected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Customer has ceased operations with no recoverable assets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Account has been with a collection agency for more than [180] days with no payment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Legal counsel advises that further collection efforts are not cost-effective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receivable is more than [365] days past due with no customer contact or payment activity</w:t>
      </w:r>
    </w:p>
    <w:p>
      <w:pPr>
        <w:pStyle w:val="Heading3"/>
        <w:spacing w:after="100" w:before="200"/>
      </w:pPr>
      <w:r>
        <w:rPr>
          <w:rFonts w:ascii="Georgia" w:cs="Georgia" w:eastAsia="Georgia" w:hAnsi="Georgia"/>
          <w:b/>
          <w:bCs/>
          <w:color w:val="444444"/>
          <w:sz w:val="22"/>
          <w:szCs w:val="22"/>
        </w:rPr>
        <w:t xml:space="preserve">5.4.3 Write-Off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Write-Off Amount</w:t>
            </w:r>
          </w:p>
        </w:tc>
        <w:tc>
          <w:tcPr>
            <w:tcW w:type="dxa" w:w="6160"/>
            <w:shd w:fill="0C0C0C" w:val="clear"/>
          </w:tcPr>
          <w:p>
            <w:pPr>
              <w:spacing w:after="60" w:before="60"/>
            </w:pPr>
            <w:r>
              <w:rPr>
                <w:rFonts w:ascii="Calibri" w:cs="Calibri" w:eastAsia="Calibri" w:hAnsi="Calibri"/>
                <w:b/>
                <w:bCs/>
                <w:color w:val="D4AF37"/>
                <w:sz w:val="20"/>
                <w:szCs w:val="20"/>
              </w:rPr>
              <w:t xml:space="preserve">Approver</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&lt; $5,000</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Credit Manager</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$5,000 – $25,000</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$25,001 – $100,000</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CFO</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&gt; $100,000</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CFO + Audit Committee notification</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6. Approval Authorities &amp; Thresholds</w:t>
      </w:r>
    </w:p>
    <w:p>
      <w:pPr>
        <w:spacing w:after="150" w:before="0"/>
        <w:jc w:val="both"/>
      </w:pPr>
      <w:r>
        <w:rPr>
          <w:rFonts w:ascii="Calibri" w:cs="Calibri" w:eastAsia="Calibri" w:hAnsi="Calibri"/>
          <w:color w:val="333333"/>
          <w:sz w:val="22"/>
          <w:szCs w:val="22"/>
        </w:rPr>
        <w:t xml:space="preserve">Credit and AR approval authorities are defined in Section 3.3 (Credit Approval) and Section 5.4.3 (Write-Off Approval) above. Additional AR-specific authorities: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Activity</w:t>
            </w:r>
          </w:p>
        </w:tc>
        <w:tc>
          <w:tcPr>
            <w:tcW w:type="dxa" w:w="2400"/>
            <w:shd w:fill="0C0C0C" w:val="clear"/>
          </w:tcPr>
          <w:p>
            <w:pPr>
              <w:spacing w:after="60" w:before="60"/>
            </w:pPr>
            <w:r>
              <w:rPr>
                <w:rFonts w:ascii="Calibri" w:cs="Calibri" w:eastAsia="Calibri" w:hAnsi="Calibri"/>
                <w:b/>
                <w:bCs/>
                <w:color w:val="D4AF37"/>
                <w:sz w:val="20"/>
                <w:szCs w:val="20"/>
              </w:rPr>
              <w:t xml:space="preserve">Threshold</w:t>
            </w:r>
          </w:p>
        </w:tc>
        <w:tc>
          <w:tcPr>
            <w:tcW w:type="dxa" w:w="4560"/>
            <w:shd w:fill="0C0C0C" w:val="clear"/>
          </w:tcPr>
          <w:p>
            <w:pPr>
              <w:spacing w:after="60" w:before="60"/>
            </w:pPr>
            <w:r>
              <w:rPr>
                <w:rFonts w:ascii="Calibri" w:cs="Calibri" w:eastAsia="Calibri" w:hAnsi="Calibri"/>
                <w:b/>
                <w:bCs/>
                <w:color w:val="D4AF37"/>
                <w:sz w:val="20"/>
                <w:szCs w:val="20"/>
              </w:rPr>
              <w:t xml:space="preserve">Approver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Credit memo issuance</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$5,000</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AR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Credit memo issuance</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$5,000 – $50,000</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Credit memo issuance</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&gt; $50,000</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CFO</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Payment plan/extended terms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Credit Manager + 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Placement with collection agency</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Credit Manager + Controller approval</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Settlement at less than full value</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&lt; $25,000</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Settlement at less than full value</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&gt; $25,000</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CFO</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7. Exceptions &amp; Escalation</w:t>
      </w:r>
    </w:p>
    <w:p>
      <w:pPr>
        <w:pStyle w:val="Heading2"/>
        <w:spacing w:after="150" w:before="300"/>
      </w:pPr>
      <w:r>
        <w:rPr>
          <w:rFonts w:ascii="Georgia" w:cs="Georgia" w:eastAsia="Georgia" w:hAnsi="Georgia"/>
          <w:b/>
          <w:bCs/>
          <w:color w:val="333333"/>
          <w:sz w:val="26"/>
          <w:szCs w:val="26"/>
        </w:rPr>
        <w:t xml:space="preserve">7.1 Credit Limit Exceptions</w:t>
      </w:r>
    </w:p>
    <w:p>
      <w:pPr>
        <w:spacing w:after="150" w:before="0"/>
        <w:jc w:val="both"/>
      </w:pPr>
      <w:r>
        <w:rPr>
          <w:rFonts w:ascii="Calibri" w:cs="Calibri" w:eastAsia="Calibri" w:hAnsi="Calibri"/>
          <w:color w:val="333333"/>
          <w:sz w:val="22"/>
          <w:szCs w:val="22"/>
        </w:rPr>
        <w:t xml:space="preserve">Temporary credit limit increases may be granted for documented business reasons (seasonal orders, project-based purchases). Temporary increases shall have an expiration date not exceeding [90] days and require the same approval authority as the total (existing + temporary) credit limit.</w:t>
      </w:r>
    </w:p>
    <w:p>
      <w:pPr>
        <w:pStyle w:val="Heading2"/>
        <w:spacing w:after="150" w:before="300"/>
      </w:pPr>
      <w:r>
        <w:rPr>
          <w:rFonts w:ascii="Georgia" w:cs="Georgia" w:eastAsia="Georgia" w:hAnsi="Georgia"/>
          <w:b/>
          <w:bCs/>
          <w:color w:val="333333"/>
          <w:sz w:val="26"/>
          <w:szCs w:val="26"/>
        </w:rPr>
        <w:t xml:space="preserve">7.2 Credit Hold Override</w:t>
      </w:r>
    </w:p>
    <w:p>
      <w:pPr>
        <w:spacing w:after="150" w:before="0"/>
        <w:jc w:val="both"/>
      </w:pPr>
      <w:r>
        <w:rPr>
          <w:rFonts w:ascii="Calibri" w:cs="Calibri" w:eastAsia="Calibri" w:hAnsi="Calibri"/>
          <w:color w:val="333333"/>
          <w:sz w:val="22"/>
          <w:szCs w:val="22"/>
        </w:rPr>
        <w:t xml:space="preserve">Credit hold overrides require Credit Manager approval with documented justification. Override reasons and amounts shall be tracked and reported to the Controller monthly. Patterns of frequent overrides for the same customer indicate the credit limit needs permanent adjustment.</w:t>
      </w:r>
    </w:p>
    <w:p>
      <w:pPr>
        <w:pStyle w:val="Heading2"/>
        <w:spacing w:after="150" w:before="300"/>
      </w:pPr>
      <w:r>
        <w:rPr>
          <w:rFonts w:ascii="Georgia" w:cs="Georgia" w:eastAsia="Georgia" w:hAnsi="Georgia"/>
          <w:b/>
          <w:bCs/>
          <w:color w:val="333333"/>
          <w:sz w:val="26"/>
          <w:szCs w:val="26"/>
        </w:rPr>
        <w:t xml:space="preserve">7.3 Escalation Path</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AR Specialist — invoice inquiries, payment application, basic collections</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Credit/Collections Manager — credit decisions, escalated collections, dispute resolution</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Controller — write-offs, significant settlements, CECL methodology questions</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CFO — material credit decisions, customer relationship escalation, litigation authority</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8. Compliance Monitoring &amp; Testing</w:t>
      </w:r>
    </w:p>
    <w:p>
      <w:pPr>
        <w:pStyle w:val="Heading2"/>
        <w:spacing w:after="150" w:before="300"/>
      </w:pPr>
      <w:r>
        <w:rPr>
          <w:rFonts w:ascii="Georgia" w:cs="Georgia" w:eastAsia="Georgia" w:hAnsi="Georgia"/>
          <w:b/>
          <w:bCs/>
          <w:color w:val="333333"/>
          <w:sz w:val="26"/>
          <w:szCs w:val="26"/>
        </w:rPr>
        <w:t xml:space="preserve">8.1 Ongoing Monitoring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Daily cash application within 1 business day of receipt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Weekly collections activity review by Collections Manager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AR aging review by Controller with focus on &gt; 60-day balances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DSO calculation and trend analysis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CECL allowance adequacy assessment</w:t>
      </w:r>
    </w:p>
    <w:p>
      <w:pPr>
        <w:pStyle w:val="Heading2"/>
        <w:spacing w:after="150" w:before="300"/>
      </w:pPr>
      <w:r>
        <w:rPr>
          <w:rFonts w:ascii="Georgia" w:cs="Georgia" w:eastAsia="Georgia" w:hAnsi="Georgia"/>
          <w:b/>
          <w:bCs/>
          <w:color w:val="333333"/>
          <w:sz w:val="26"/>
          <w:szCs w:val="26"/>
        </w:rPr>
        <w:t xml:space="preserve">8.2 Key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Metric</w:t>
            </w:r>
          </w:p>
        </w:tc>
        <w:tc>
          <w:tcPr>
            <w:tcW w:type="dxa" w:w="6160"/>
            <w:shd w:fill="0C0C0C" w:val="clear"/>
          </w:tcPr>
          <w:p>
            <w:pPr>
              <w:spacing w:after="60" w:before="60"/>
            </w:pPr>
            <w:r>
              <w:rPr>
                <w:rFonts w:ascii="Calibri" w:cs="Calibri" w:eastAsia="Calibri" w:hAnsi="Calibri"/>
                <w:b/>
                <w:bCs/>
                <w:color w:val="D4AF37"/>
                <w:sz w:val="20"/>
                <w:szCs w:val="20"/>
              </w:rPr>
              <w:t xml:space="preserve">Target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Days Sales Outstanding</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[X] days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AR &gt; 90 days as % of total AR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&lt; [5%]</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Bad debt as % of revenue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[0.5%]</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Collection Effectiveness Index</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&gt; [95%]</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Cash application timeliness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1 business day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Dispute resolution cycle time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&lt; 15 business days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9. Related Policies &amp; References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Revenue Recognition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Revenue Operations &amp; Billing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Cash &amp; Treasury Management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Delegation of Authority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326, Financial Instruments — Credit Losses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310, Receivables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Fair Debt Collection Practices Act</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10. Appendices</w:t>
      </w:r>
    </w:p>
    <w:p>
      <w:pPr>
        <w:pStyle w:val="Heading2"/>
        <w:spacing w:after="150" w:before="300"/>
      </w:pPr>
      <w:r>
        <w:rPr>
          <w:rFonts w:ascii="Georgia" w:cs="Georgia" w:eastAsia="Georgia" w:hAnsi="Georgia"/>
          <w:b/>
          <w:bCs/>
          <w:color w:val="333333"/>
          <w:sz w:val="26"/>
          <w:szCs w:val="26"/>
        </w:rPr>
        <w:t xml:space="preserve">Appendix A — Credit Application Template</w:t>
      </w:r>
    </w:p>
    <w:p>
      <w:pPr>
        <w:spacing w:after="150" w:before="0"/>
        <w:jc w:val="both"/>
      </w:pPr>
      <w:r>
        <w:rPr>
          <w:rFonts w:ascii="Calibri" w:cs="Calibri" w:eastAsia="Calibri" w:hAnsi="Calibri"/>
          <w:color w:val="333333"/>
          <w:sz w:val="22"/>
          <w:szCs w:val="22"/>
        </w:rPr>
        <w:t xml:space="preserve">The credit application form collects: legal entity name, DBA, address, phone, federal tax ID, type of business, years in business, bank references, trade references (3), requested credit amount, and authorized signature.</w:t>
      </w:r>
    </w:p>
    <w:p>
      <w:pPr>
        <w:pStyle w:val="Heading2"/>
        <w:spacing w:after="150" w:before="300"/>
      </w:pPr>
      <w:r>
        <w:rPr>
          <w:rFonts w:ascii="Georgia" w:cs="Georgia" w:eastAsia="Georgia" w:hAnsi="Georgia"/>
          <w:b/>
          <w:bCs/>
          <w:color w:val="333333"/>
          <w:sz w:val="26"/>
          <w:szCs w:val="26"/>
        </w:rPr>
        <w:t xml:space="preserve">Appendix B — CECL Allowance Calculation Template</w:t>
      </w:r>
    </w:p>
    <w:p>
      <w:pPr>
        <w:spacing w:after="150" w:before="0"/>
        <w:jc w:val="both"/>
      </w:pPr>
      <w:r>
        <w:rPr>
          <w:rFonts w:ascii="Calibri" w:cs="Calibri" w:eastAsia="Calibri" w:hAnsi="Calibri"/>
          <w:color w:val="333333"/>
          <w:sz w:val="22"/>
          <w:szCs w:val="22"/>
        </w:rPr>
        <w:t xml:space="preserve">The CECL calculation applies historical loss rates by aging bucket, adjusted for: current economic conditions, forward-looking economic indicators, industry-specific factors, and customer-specific known risks.</w:t>
      </w:r>
    </w:p>
    <w:p>
      <w:pPr>
        <w:pStyle w:val="Heading2"/>
        <w:spacing w:after="150" w:before="300"/>
      </w:pPr>
      <w:r>
        <w:rPr>
          <w:rFonts w:ascii="Georgia" w:cs="Georgia" w:eastAsia="Georgia" w:hAnsi="Georgia"/>
          <w:b/>
          <w:bCs/>
          <w:color w:val="333333"/>
          <w:sz w:val="26"/>
          <w:szCs w:val="26"/>
        </w:rPr>
        <w:t xml:space="preserve">Appendix C — Collections Letter Templates</w:t>
      </w:r>
    </w:p>
    <w:p>
      <w:pPr>
        <w:pStyle w:val="Heading3"/>
        <w:spacing w:after="100" w:before="200"/>
      </w:pPr>
      <w:r>
        <w:rPr>
          <w:rFonts w:ascii="Georgia" w:cs="Georgia" w:eastAsia="Georgia" w:hAnsi="Georgia"/>
          <w:b/>
          <w:bCs/>
          <w:color w:val="444444"/>
          <w:sz w:val="22"/>
          <w:szCs w:val="22"/>
        </w:rPr>
        <w:t xml:space="preserve">First Reminder (Day 15)</w:t>
      </w:r>
    </w:p>
    <w:p>
      <w:pPr>
        <w:spacing w:after="150" w:before="0"/>
        <w:jc w:val="both"/>
      </w:pPr>
      <w:r>
        <w:rPr>
          <w:rFonts w:ascii="Calibri" w:cs="Calibri" w:eastAsia="Calibri" w:hAnsi="Calibri"/>
          <w:color w:val="333333"/>
          <w:sz w:val="22"/>
          <w:szCs w:val="22"/>
        </w:rPr>
        <w:t xml:space="preserve">A friendly payment reminder noting the invoice number, amount, due date, and payment methods available.</w:t>
      </w:r>
    </w:p>
    <w:p>
      <w:pPr>
        <w:pStyle w:val="Heading3"/>
        <w:spacing w:after="100" w:before="200"/>
      </w:pPr>
      <w:r>
        <w:rPr>
          <w:rFonts w:ascii="Georgia" w:cs="Georgia" w:eastAsia="Georgia" w:hAnsi="Georgia"/>
          <w:b/>
          <w:bCs/>
          <w:color w:val="444444"/>
          <w:sz w:val="22"/>
          <w:szCs w:val="22"/>
        </w:rPr>
        <w:t xml:space="preserve">Second Notice (Day 30)</w:t>
      </w:r>
    </w:p>
    <w:p>
      <w:pPr>
        <w:spacing w:after="150" w:before="0"/>
        <w:jc w:val="both"/>
      </w:pPr>
      <w:r>
        <w:rPr>
          <w:rFonts w:ascii="Calibri" w:cs="Calibri" w:eastAsia="Calibri" w:hAnsi="Calibri"/>
          <w:color w:val="333333"/>
          <w:sz w:val="22"/>
          <w:szCs w:val="22"/>
        </w:rPr>
        <w:t xml:space="preserve">A firmer reminder noting the account is past due, requesting immediate payment, and offering to discuss any issues.</w:t>
      </w:r>
    </w:p>
    <w:p>
      <w:pPr>
        <w:pStyle w:val="Heading3"/>
        <w:spacing w:after="100" w:before="200"/>
      </w:pPr>
      <w:r>
        <w:rPr>
          <w:rFonts w:ascii="Georgia" w:cs="Georgia" w:eastAsia="Georgia" w:hAnsi="Georgia"/>
          <w:b/>
          <w:bCs/>
          <w:color w:val="444444"/>
          <w:sz w:val="22"/>
          <w:szCs w:val="22"/>
        </w:rPr>
        <w:t xml:space="preserve">Final Demand (Day 60)</w:t>
      </w:r>
    </w:p>
    <w:p>
      <w:pPr>
        <w:spacing w:after="150" w:before="0"/>
        <w:jc w:val="both"/>
      </w:pPr>
      <w:r>
        <w:rPr>
          <w:rFonts w:ascii="Calibri" w:cs="Calibri" w:eastAsia="Calibri" w:hAnsi="Calibri"/>
          <w:color w:val="333333"/>
          <w:sz w:val="22"/>
          <w:szCs w:val="22"/>
        </w:rPr>
        <w:t xml:space="preserve">Formal demand for payment with notice that the account may be placed with a collection agency or referred to legal counsel if payment is not received within [15] days.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11. Customer Credit Risk Monitoring</w:t>
      </w:r>
    </w:p>
    <w:p>
      <w:pPr>
        <w:pStyle w:val="Heading2"/>
        <w:spacing w:after="150" w:before="300"/>
      </w:pPr>
      <w:r>
        <w:rPr>
          <w:rFonts w:ascii="Georgia" w:cs="Georgia" w:eastAsia="Georgia" w:hAnsi="Georgia"/>
          <w:b/>
          <w:bCs/>
          <w:color w:val="333333"/>
          <w:sz w:val="26"/>
          <w:szCs w:val="26"/>
        </w:rPr>
        <w:t xml:space="preserve">11.1 Continuous Credit Monitoring</w:t>
      </w:r>
    </w:p>
    <w:p>
      <w:pPr>
        <w:spacing w:after="150" w:before="0"/>
        <w:jc w:val="both"/>
      </w:pPr>
      <w:r>
        <w:rPr>
          <w:rFonts w:ascii="Calibri" w:cs="Calibri" w:eastAsia="Calibri" w:hAnsi="Calibri"/>
          <w:color w:val="333333"/>
          <w:sz w:val="22"/>
          <w:szCs w:val="22"/>
        </w:rPr>
        <w:t xml:space="preserve">[Company Name] shall implement continuous credit monitoring for customers with credit limits exceeding [threshold]. Continuous monitoring includes automated alerts from credit reporting agencies for: payment default reports, legal filings (liens, judgments, bankruptcy), credit score changes exceeding [threshold], and significant adverse events (management changes, facility closures).</w:t>
      </w:r>
    </w:p>
    <w:p>
      <w:pPr>
        <w:pStyle w:val="Heading2"/>
        <w:spacing w:after="150" w:before="300"/>
      </w:pPr>
      <w:r>
        <w:rPr>
          <w:rFonts w:ascii="Georgia" w:cs="Georgia" w:eastAsia="Georgia" w:hAnsi="Georgia"/>
          <w:b/>
          <w:bCs/>
          <w:color w:val="333333"/>
          <w:sz w:val="26"/>
          <w:szCs w:val="26"/>
        </w:rPr>
        <w:t xml:space="preserve">11.2 Customer Financial Review</w:t>
      </w:r>
    </w:p>
    <w:p>
      <w:pPr>
        <w:spacing w:after="150" w:before="0"/>
        <w:jc w:val="both"/>
      </w:pPr>
      <w:r>
        <w:rPr>
          <w:rFonts w:ascii="Calibri" w:cs="Calibri" w:eastAsia="Calibri" w:hAnsi="Calibri"/>
          <w:color w:val="333333"/>
          <w:sz w:val="22"/>
          <w:szCs w:val="22"/>
        </w:rPr>
        <w:t xml:space="preserve">For customers with credit limits exceeding [threshold], the Credit Manager shall conduct an annual financial review including: review of customer's most recent financial statements, assessment of key financial ratios (current ratio, debt-to-equity, interest coverage), industry trend analysis, and payment history with [Company Name] over the trailing 12 months.</w:t>
      </w:r>
    </w:p>
    <w:p>
      <w:pPr>
        <w:pStyle w:val="Heading2"/>
        <w:spacing w:after="150" w:before="300"/>
      </w:pPr>
      <w:r>
        <w:rPr>
          <w:rFonts w:ascii="Georgia" w:cs="Georgia" w:eastAsia="Georgia" w:hAnsi="Georgia"/>
          <w:b/>
          <w:bCs/>
          <w:color w:val="333333"/>
          <w:sz w:val="26"/>
          <w:szCs w:val="26"/>
        </w:rPr>
        <w:t xml:space="preserve">11.3 Concentration Risk Management</w:t>
      </w:r>
    </w:p>
    <w:p>
      <w:pPr>
        <w:spacing w:after="150" w:before="0"/>
        <w:jc w:val="both"/>
      </w:pPr>
      <w:r>
        <w:rPr>
          <w:rFonts w:ascii="Calibri" w:cs="Calibri" w:eastAsia="Calibri" w:hAnsi="Calibri"/>
          <w:color w:val="333333"/>
          <w:sz w:val="22"/>
          <w:szCs w:val="22"/>
        </w:rPr>
        <w:t xml:space="preserve">[Company Name] shall monitor customer concentration risk. No single customer's outstanding receivable balance shall exceed [10%] of total accounts receivable without CFO awareness and documented risk acceptance. The top 10 customer exposure report shall be reviewed monthly by the Controller with quarterly reporting to the CFO.</w:t>
      </w:r>
    </w:p>
    <w:p>
      <w:pPr>
        <w:pStyle w:val="Heading2"/>
        <w:spacing w:after="150" w:before="300"/>
      </w:pPr>
      <w:r>
        <w:rPr>
          <w:rFonts w:ascii="Georgia" w:cs="Georgia" w:eastAsia="Georgia" w:hAnsi="Georgia"/>
          <w:b/>
          <w:bCs/>
          <w:color w:val="333333"/>
          <w:sz w:val="26"/>
          <w:szCs w:val="26"/>
        </w:rPr>
        <w:t xml:space="preserve">11.4 Industry and Economic Risk Factors</w:t>
      </w:r>
    </w:p>
    <w:p>
      <w:pPr>
        <w:spacing w:after="150" w:before="0"/>
        <w:jc w:val="both"/>
      </w:pPr>
      <w:r>
        <w:rPr>
          <w:rFonts w:ascii="Calibri" w:cs="Calibri" w:eastAsia="Calibri" w:hAnsi="Calibri"/>
          <w:color w:val="333333"/>
          <w:sz w:val="22"/>
          <w:szCs w:val="22"/>
        </w:rPr>
        <w:t xml:space="preserve">The Credit Manager shall maintain awareness of industry-specific and macroeconomic risk factors that could affect customer payment ability. Factors to monitor include: industry downturn indicators, interest rate impacts on customer debt service, regulatory changes affecting customer industries, and geographic economic conditions. When material risk factors are identified, the credit team shall proactively review and potentially reduce credit limits for affected customers.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12. Revenue Operations Integration</w:t>
      </w:r>
    </w:p>
    <w:p>
      <w:pPr>
        <w:pStyle w:val="Heading2"/>
        <w:spacing w:after="150" w:before="300"/>
      </w:pPr>
      <w:r>
        <w:rPr>
          <w:rFonts w:ascii="Georgia" w:cs="Georgia" w:eastAsia="Georgia" w:hAnsi="Georgia"/>
          <w:b/>
          <w:bCs/>
          <w:color w:val="333333"/>
          <w:sz w:val="26"/>
          <w:szCs w:val="26"/>
        </w:rPr>
        <w:t xml:space="preserve">12.1 Billing Accuracy</w:t>
      </w:r>
    </w:p>
    <w:p>
      <w:pPr>
        <w:spacing w:after="150" w:before="0"/>
        <w:jc w:val="both"/>
      </w:pPr>
      <w:r>
        <w:rPr>
          <w:rFonts w:ascii="Calibri" w:cs="Calibri" w:eastAsia="Calibri" w:hAnsi="Calibri"/>
          <w:color w:val="333333"/>
          <w:sz w:val="22"/>
          <w:szCs w:val="22"/>
        </w:rPr>
        <w:t xml:space="preserve">AR shall work closely with Revenue Operations to ensure billing accuracy. Common billing errors that create collection delays include: incorrect pricing (not matching the contract rate card), incorrect tax calculation, wrong billing address or contact, incorrect PO number reference, and missing required backup documentation. AR shall track billing error rates by category and report monthly to the Controller.</w:t>
      </w:r>
    </w:p>
    <w:p>
      <w:pPr>
        <w:pStyle w:val="Heading2"/>
        <w:spacing w:after="150" w:before="300"/>
      </w:pPr>
      <w:r>
        <w:rPr>
          <w:rFonts w:ascii="Georgia" w:cs="Georgia" w:eastAsia="Georgia" w:hAnsi="Georgia"/>
          <w:b/>
          <w:bCs/>
          <w:color w:val="333333"/>
          <w:sz w:val="26"/>
          <w:szCs w:val="26"/>
        </w:rPr>
        <w:t xml:space="preserve">12.2 Contract-to-Cash Alignment</w:t>
      </w:r>
    </w:p>
    <w:p>
      <w:pPr>
        <w:spacing w:after="150" w:before="0"/>
        <w:jc w:val="both"/>
      </w:pPr>
      <w:r>
        <w:rPr>
          <w:rFonts w:ascii="Calibri" w:cs="Calibri" w:eastAsia="Calibri" w:hAnsi="Calibri"/>
          <w:color w:val="333333"/>
          <w:sz w:val="22"/>
          <w:szCs w:val="22"/>
        </w:rPr>
        <w:t xml:space="preserve">The following handoff points between Revenue Operations and AR shall be documented and monitored: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Contract execution → billing setup: contract terms accurately reflected in the billing system within [2] business days of execution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Billing → invoice delivery: invoices generated and delivered within [1] business day of the billing run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Payment receipt → cash application: payments applied within [1] business day of receipt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Credit memo → AR adjustment: credits processed and reflected in the customer account within [2] business days of approval</w:t>
      </w:r>
    </w:p>
    <w:p>
      <w:pPr>
        <w:pStyle w:val="Heading2"/>
        <w:spacing w:after="150" w:before="300"/>
      </w:pPr>
      <w:r>
        <w:rPr>
          <w:rFonts w:ascii="Georgia" w:cs="Georgia" w:eastAsia="Georgia" w:hAnsi="Georgia"/>
          <w:b/>
          <w:bCs/>
          <w:color w:val="333333"/>
          <w:sz w:val="26"/>
          <w:szCs w:val="26"/>
        </w:rPr>
        <w:t xml:space="preserve">12.3 Subscription and Recurring Billing</w:t>
      </w:r>
    </w:p>
    <w:p>
      <w:pPr>
        <w:spacing w:after="150" w:before="0"/>
        <w:jc w:val="both"/>
      </w:pPr>
      <w:r>
        <w:rPr>
          <w:rFonts w:ascii="Calibri" w:cs="Calibri" w:eastAsia="Calibri" w:hAnsi="Calibri"/>
          <w:color w:val="333333"/>
          <w:sz w:val="22"/>
          <w:szCs w:val="22"/>
        </w:rPr>
        <w:t xml:space="preserve">For subscription-based revenue, AR shall ensure that: billing schedules align with contract terms (monthly, quarterly, annual), price escalations are applied per the contract anniversary date, auto-renewal billing is properly configured, and terminated subscriptions cease billing on the effective date. A monthly reconciliation of active subscriptions in the CRM to the billing system shall be performed.</w:t>
      </w:r>
    </w:p>
    <w:p>
      <w:pPr>
        <w:pStyle w:val="Heading2"/>
        <w:spacing w:after="150" w:before="300"/>
      </w:pPr>
      <w:r>
        <w:rPr>
          <w:rFonts w:ascii="Georgia" w:cs="Georgia" w:eastAsia="Georgia" w:hAnsi="Georgia"/>
          <w:b/>
          <w:bCs/>
          <w:color w:val="333333"/>
          <w:sz w:val="26"/>
          <w:szCs w:val="26"/>
        </w:rPr>
        <w:t xml:space="preserve">12.4 Dunning Communications Strategy</w:t>
      </w:r>
    </w:p>
    <w:p>
      <w:pPr>
        <w:spacing w:after="150" w:before="0"/>
        <w:jc w:val="both"/>
      </w:pPr>
      <w:r>
        <w:rPr>
          <w:rFonts w:ascii="Calibri" w:cs="Calibri" w:eastAsia="Calibri" w:hAnsi="Calibri"/>
          <w:color w:val="333333"/>
          <w:sz w:val="22"/>
          <w:szCs w:val="22"/>
        </w:rPr>
        <w:t xml:space="preserve">[Company Name] shall implement an automated dunning communication strategy that balances collection effectiveness with customer relationship preservation. Dunning communications shall be: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Personalized with the customer's name, account number, and specific invoice details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Escalating in tone from friendly reminder to formal demand over the collections lifecycle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Delivered through the customer's preferred communication channel (email, portal, mail)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Suppressed for accounts with open disputes or payment plans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Tracked for effectiveness: response rate, payment rate, and time-to-payment by communication type</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13. Advanced Analytics and Reporting</w:t>
      </w:r>
    </w:p>
    <w:p>
      <w:pPr>
        <w:pStyle w:val="Heading2"/>
        <w:spacing w:after="150" w:before="300"/>
      </w:pPr>
      <w:r>
        <w:rPr>
          <w:rFonts w:ascii="Georgia" w:cs="Georgia" w:eastAsia="Georgia" w:hAnsi="Georgia"/>
          <w:b/>
          <w:bCs/>
          <w:color w:val="333333"/>
          <w:sz w:val="26"/>
          <w:szCs w:val="26"/>
        </w:rPr>
        <w:t xml:space="preserve">13.1 Predictive Collections Analytics</w:t>
      </w:r>
    </w:p>
    <w:p>
      <w:pPr>
        <w:spacing w:after="150" w:before="0"/>
        <w:jc w:val="both"/>
      </w:pPr>
      <w:r>
        <w:rPr>
          <w:rFonts w:ascii="Calibri" w:cs="Calibri" w:eastAsia="Calibri" w:hAnsi="Calibri"/>
          <w:color w:val="333333"/>
          <w:sz w:val="22"/>
          <w:szCs w:val="22"/>
        </w:rPr>
        <w:t xml:space="preserve">[Company Name] may deploy predictive analytics to prioritize collections efforts based on the probability of payment and expected collection amount. Predictive models shall consider: customer payment history patterns, current aging status, customer industry and size, economic indicators, and seasonal payment patterns. Collections staff shall prioritize accounts based on the predicted recovery amount, focusing effort on accounts with the highest expected return.</w:t>
      </w:r>
    </w:p>
    <w:p>
      <w:pPr>
        <w:pStyle w:val="Heading2"/>
        <w:spacing w:after="150" w:before="300"/>
      </w:pPr>
      <w:r>
        <w:rPr>
          <w:rFonts w:ascii="Georgia" w:cs="Georgia" w:eastAsia="Georgia" w:hAnsi="Georgia"/>
          <w:b/>
          <w:bCs/>
          <w:color w:val="333333"/>
          <w:sz w:val="26"/>
          <w:szCs w:val="26"/>
        </w:rPr>
        <w:t xml:space="preserve">13.2 Cash Forecasting from AR</w:t>
      </w:r>
    </w:p>
    <w:p>
      <w:pPr>
        <w:spacing w:after="150" w:before="0"/>
        <w:jc w:val="both"/>
      </w:pPr>
      <w:r>
        <w:rPr>
          <w:rFonts w:ascii="Calibri" w:cs="Calibri" w:eastAsia="Calibri" w:hAnsi="Calibri"/>
          <w:color w:val="333333"/>
          <w:sz w:val="22"/>
          <w:szCs w:val="22"/>
        </w:rPr>
        <w:t xml:space="preserve">AR shall provide Treasury with a weekly cash receipt forecast based on: scheduled payment due dates, historical payment pattern analysis (how many days after due date does each customer typically pay), known disputes and delays, and collections activity outcomes. The AR-based cash forecast shall feed into the 13-week cash flow forecast maintained by Treasury.</w:t>
      </w:r>
    </w:p>
    <w:p>
      <w:pPr>
        <w:pStyle w:val="Heading2"/>
        <w:spacing w:after="150" w:before="300"/>
      </w:pPr>
      <w:r>
        <w:rPr>
          <w:rFonts w:ascii="Georgia" w:cs="Georgia" w:eastAsia="Georgia" w:hAnsi="Georgia"/>
          <w:b/>
          <w:bCs/>
          <w:color w:val="333333"/>
          <w:sz w:val="26"/>
          <w:szCs w:val="26"/>
        </w:rPr>
        <w:t xml:space="preserve">13.3 Customer Profitability Analysis</w:t>
      </w:r>
    </w:p>
    <w:p>
      <w:pPr>
        <w:spacing w:after="150" w:before="0"/>
        <w:jc w:val="both"/>
      </w:pPr>
      <w:r>
        <w:rPr>
          <w:rFonts w:ascii="Calibri" w:cs="Calibri" w:eastAsia="Calibri" w:hAnsi="Calibri"/>
          <w:color w:val="333333"/>
          <w:sz w:val="22"/>
          <w:szCs w:val="22"/>
        </w:rPr>
        <w:t xml:space="preserve">AR data shall support customer profitability analysis by providing: DSO by customer, collection cost per customer, discount and allowance rates, and bad debt history. Customers with consistently high DSO, frequent disputes, and elevated credit losses may be candidates for: payment term changes, pricing adjustments, credit limit reduction, or strategic account review.</w:t>
      </w:r>
    </w:p>
    <w:p>
      <w:pPr>
        <w:pStyle w:val="Heading2"/>
        <w:spacing w:after="150" w:before="300"/>
      </w:pPr>
      <w:r>
        <w:rPr>
          <w:rFonts w:ascii="Georgia" w:cs="Georgia" w:eastAsia="Georgia" w:hAnsi="Georgia"/>
          <w:b/>
          <w:bCs/>
          <w:color w:val="333333"/>
          <w:sz w:val="26"/>
          <w:szCs w:val="26"/>
        </w:rPr>
        <w:t xml:space="preserve">13.4 AR Dashboard and KPI Reporting</w:t>
      </w:r>
    </w:p>
    <w:p>
      <w:pPr>
        <w:spacing w:after="150" w:before="0"/>
        <w:jc w:val="both"/>
      </w:pPr>
      <w:r>
        <w:rPr>
          <w:rFonts w:ascii="Calibri" w:cs="Calibri" w:eastAsia="Calibri" w:hAnsi="Calibri"/>
          <w:color w:val="333333"/>
          <w:sz w:val="22"/>
          <w:szCs w:val="22"/>
        </w:rPr>
        <w:t xml:space="preserve">The AR Manager shall maintain a real-time AR dashboard with the following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Metric</w:t>
            </w:r>
          </w:p>
        </w:tc>
        <w:tc>
          <w:tcPr>
            <w:tcW w:type="dxa" w:w="6160"/>
            <w:shd w:fill="0C0C0C" w:val="clear"/>
          </w:tcPr>
          <w:p>
            <w:pPr>
              <w:spacing w:after="60" w:before="60"/>
            </w:pPr>
            <w:r>
              <w:rPr>
                <w:rFonts w:ascii="Calibri" w:cs="Calibri" w:eastAsia="Calibri" w:hAnsi="Calibri"/>
                <w:b/>
                <w:bCs/>
                <w:color w:val="D4AF37"/>
                <w:sz w:val="20"/>
                <w:szCs w:val="20"/>
              </w:rPr>
              <w:t xml:space="preserve">Frequency</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Total AR outstanding by aging bucket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Daily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DSO (rolling 12-month and trend)</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Weekly</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Top 20 past-due accounts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Daily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Collection Effectiveness Index</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Monthly</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Dispute aging and resolution rate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Weekly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Bad debt expense as % of revenue (trailing 12 months)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Monthly</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Cash application timeliness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Daily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Credit hold release time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Weekly</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Version</w:t>
            </w:r>
          </w:p>
        </w:tc>
        <w:tc>
          <w:tcPr>
            <w:tcW w:type="dxa" w:w="2400"/>
            <w:shd w:fill="0C0C0C" w:val="clear"/>
          </w:tcPr>
          <w:p>
            <w:pPr>
              <w:spacing w:after="60" w:before="60"/>
            </w:pPr>
            <w:r>
              <w:rPr>
                <w:rFonts w:ascii="Calibri" w:cs="Calibri" w:eastAsia="Calibri" w:hAnsi="Calibri"/>
                <w:b/>
                <w:bCs/>
                <w:color w:val="D4AF37"/>
                <w:sz w:val="20"/>
                <w:szCs w:val="20"/>
              </w:rPr>
              <w:t xml:space="preserve">Date</w:t>
            </w:r>
          </w:p>
        </w:tc>
        <w:tc>
          <w:tcPr>
            <w:tcW w:type="dxa" w:w="45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1.0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[Effective Date]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Initial policy document</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bl>
    <w:p>
      <w:pPr>
        <w:spacing w:after="150" w:before="0"/>
        <w:jc w:val="both"/>
      </w:pPr>
      <w:r>
        <w:rPr>
          <w:rFonts w:ascii="Calibri" w:cs="Calibri" w:eastAsia="Calibri" w:hAnsi="Calibri"/>
          <w:color w:val="333333"/>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Name / Signature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Prepared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Reviewed By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Approved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[CFO Name], Chief Financial Officer</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2A2A" w:sz="2"/>
      </w:pBdr>
      <w:spacing w:before="100"/>
      <w:jc w:val="center"/>
    </w:pPr>
    <w:r>
      <w:rPr>
        <w:rFonts w:ascii="Calibri" w:cs="Calibri" w:eastAsia="Calibri" w:hAnsi="Calibri"/>
        <w:color w:val="9CA3AF"/>
        <w:sz w:val="16"/>
        <w:szCs w:val="16"/>
      </w:rPr>
      <w:t xml:space="preserve">Confidential — [Company Name]  |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of </w:t>
    </w:r>
    <w:r>
      <w:rPr>
        <w:rFonts w:ascii="Calibri" w:cs="Calibri" w:eastAsia="Calibri" w:hAnsi="Calibri"/>
        <w:color w:val="9CA3AF"/>
        <w:sz w:val="16"/>
        <w:szCs w:val="16"/>
      </w:rPr>
      <w:fldChar w:fldCharType="begin"/>
      <w:instrText xml:space="preserve">NUMPAGES</w:instrText>
      <w:fldChar w:fldCharType="separate"/>
      <w:fldChar w:fldCharType="end"/>
    </w:r>
    <w:r>
      <w:rPr>
        <w:rFonts w:ascii="Calibri" w:cs="Calibri" w:eastAsia="Calibri" w:hAnsi="Calibri"/>
        <w:color w:val="D4AF37"/>
        <w:sz w:val="16"/>
        <w:szCs w:val="16"/>
      </w:rPr>
      <w:t xml:space="preserve">  |  EFuturesCFO.com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9CA3AF"/>
        <w:sz w:val="16"/>
        <w:szCs w:val="16"/>
      </w:rPr>
      <w:t xml:space="preserve">[Company Name]</w:t>
    </w:r>
    <w:r>
      <w:rPr>
        <w:rFonts w:ascii="Calibri" w:cs="Calibri" w:eastAsia="Calibri" w:hAnsi="Calibri"/>
        <w:color w:val="9CA3AF"/>
        <w:sz w:val="16"/>
        <w:szCs w:val="16"/>
      </w:rPr>
      <w:t xml:space="preserve">  |  </w:t>
    </w:r>
    <w:r>
      <w:rPr>
        <w:rFonts w:ascii="Calibri" w:cs="Calibri" w:eastAsia="Calibri" w:hAnsi="Calibri"/>
        <w:i/>
        <w:iCs/>
        <w:color w:val="9CA3AF"/>
        <w:sz w:val="16"/>
        <w:szCs w:val="16"/>
      </w:rPr>
      <w:t xml:space="preserve">Accounts Receivable &amp; Credit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Georgia" w:cs="Georgia" w:eastAsia="Georgia" w:hAnsi="Georgia"/>
      <w:b/>
      <w:bCs/>
      <w:color w:val="0C0C0C"/>
      <w:sz w:val="32"/>
      <w:szCs w:val="32"/>
    </w:rPr>
  </w:style>
  <w:style w:type="paragraph" w:styleId="Heading2">
    <w:name w:val="Heading 2"/>
    <w:basedOn w:val="Normal"/>
    <w:next w:val="Normal"/>
    <w:qFormat/>
    <w:rPr>
      <w:rFonts w:ascii="Georgia" w:cs="Georgia" w:eastAsia="Georgia" w:hAnsi="Georgia"/>
      <w:b/>
      <w:bCs/>
      <w:color w:val="333333"/>
      <w:sz w:val="26"/>
      <w:szCs w:val="26"/>
    </w:rPr>
  </w:style>
  <w:style w:type="paragraph" w:styleId="Heading3">
    <w:name w:val="Heading 3"/>
    <w:basedOn w:val="Normal"/>
    <w:next w:val="Normal"/>
    <w:qFormat/>
    <w:rPr>
      <w:rFonts w:ascii="Georgia" w:cs="Georgia" w:eastAsia="Georgia" w:hAnsi="Georgia"/>
      <w:b/>
      <w:bCs/>
      <w:color w:val="444444"/>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2026-07-13T05:00:46.007Z</dcterms:created>
  <dcterms:modified xsi:type="dcterms:W3CDTF">2026-07-13T05:00:46.007Z</dcterms:modified>
</cp:coreProperties>
</file>

<file path=docProps/custom.xml><?xml version="1.0" encoding="utf-8"?>
<Properties xmlns="http://schemas.openxmlformats.org/officeDocument/2006/custom-properties" xmlns:vt="http://schemas.openxmlformats.org/officeDocument/2006/docPropsVTypes"/>
</file>