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0"/>
      </w:pPr>
    </w:p>
    <w:p>
      <w:pPr>
        <w:spacing w:after="200"/>
        <w:jc w:val="center"/>
      </w:pPr>
      <w:r>
        <w:rPr>
          <w:rFonts w:ascii="Georgia" w:cs="Georgia" w:eastAsia="Georgia" w:hAnsi="Georgia"/>
          <w:b/>
          <w:bCs/>
          <w:color w:val="D4AF37"/>
          <w:sz w:val="56"/>
          <w:szCs w:val="56"/>
        </w:rPr>
        <w:t xml:space="preserve">EFuturesCFO</w:t>
      </w:r>
    </w:p>
    <w:p>
      <w:pPr>
        <w:spacing w:after="100"/>
        <w:jc w:val="center"/>
      </w:pPr>
      <w:r>
        <w:rPr>
          <w:rFonts w:ascii="Calibri" w:cs="Calibri" w:eastAsia="Calibri" w:hAnsi="Calibri"/>
          <w:color w:val="9CA3AF"/>
          <w:sz w:val="24"/>
          <w:szCs w:val="24"/>
        </w:rPr>
        <w:t xml:space="preserve">Executive Decision Tools</w:t>
      </w:r>
    </w:p>
    <w:p>
      <w:pPr>
        <w:pBdr>
          <w:bottom w:val="single" w:color="D4AF37" w:sz="6"/>
        </w:pBdr>
        <w:spacing w:after="600"/>
        <w:jc w:val="center"/>
      </w:pPr>
      <w:r>
        <w:rPr>
          <w:sz w:val="12"/>
          <w:szCs w:val="12"/>
        </w:rPr>
        <w:t xml:space="preserve"> </w:t>
      </w:r>
    </w:p>
    <w:p>
      <w:pPr>
        <w:spacing w:after="400"/>
      </w:pPr>
    </w:p>
    <w:p>
      <w:pPr>
        <w:spacing w:after="200"/>
        <w:jc w:val="center"/>
      </w:pPr>
      <w:r>
        <w:rPr>
          <w:rFonts w:ascii="Georgia" w:cs="Georgia" w:eastAsia="Georgia" w:hAnsi="Georgia"/>
          <w:b/>
          <w:bCs/>
          <w:color w:val="0C0C0C"/>
          <w:sz w:val="48"/>
          <w:szCs w:val="48"/>
        </w:rPr>
        <w:t xml:space="preserve">Financial Close &amp; Reporting Policy</w:t>
      </w:r>
    </w:p>
    <w:p>
      <w:pPr>
        <w:spacing w:after="200"/>
        <w:jc w:val="center"/>
      </w:pPr>
      <w:r>
        <w:rPr>
          <w:rFonts w:ascii="Calibri" w:cs="Calibri" w:eastAsia="Calibri" w:hAnsi="Calibri"/>
          <w:color w:val="666666"/>
          <w:sz w:val="28"/>
          <w:szCs w:val="28"/>
        </w:rPr>
        <w:t xml:space="preserve">Policy &amp; Procedures Manual</w:t>
      </w:r>
    </w:p>
    <w:p>
      <w:pPr>
        <w:spacing w:after="2000"/>
      </w:pPr>
    </w:p>
    <w:p>
      <w:pPr>
        <w:spacing w:after="100"/>
        <w:jc w:val="center"/>
      </w:pPr>
      <w:r>
        <w:rPr>
          <w:rFonts w:ascii="Calibri" w:cs="Calibri" w:eastAsia="Calibri" w:hAnsi="Calibri"/>
          <w:b/>
          <w:bCs/>
          <w:color w:val="0C0C0C"/>
          <w:sz w:val="28"/>
          <w:szCs w:val="28"/>
        </w:rPr>
        <w:t xml:space="preserve">[Company Name]</w:t>
      </w:r>
    </w:p>
    <w:p>
      <w:pPr>
        <w:spacing w:after="100"/>
        <w:jc w:val="center"/>
      </w:pPr>
      <w:r>
        <w:rPr>
          <w:rFonts w:ascii="Calibri" w:cs="Calibri" w:eastAsia="Calibri" w:hAnsi="Calibri"/>
          <w:color w:val="9CA3AF"/>
          <w:sz w:val="22"/>
          <w:szCs w:val="22"/>
        </w:rPr>
        <w:t xml:space="preserve">Policy Document — Confidential</w:t>
      </w:r>
    </w:p>
    <w:p>
      <w:pPr>
        <w:spacing w:after="100"/>
        <w:jc w:val="center"/>
      </w:pPr>
      <w:r>
        <w:rPr>
          <w:rFonts w:ascii="Calibri" w:cs="Calibri" w:eastAsia="Calibri" w:hAnsi="Calibri"/>
          <w:color w:val="9CA3AF"/>
          <w:sz w:val="20"/>
          <w:szCs w:val="20"/>
        </w:rPr>
        <w:t xml:space="preserve">Effective Date: [Date]  |  Version: 1.0</w:t>
      </w:r>
    </w:p>
    <w:p>
      <w:pPr>
        <w:spacing w:after="100"/>
        <w:jc w:val="center"/>
      </w:pPr>
      <w:r>
        <w:rPr>
          <w:rFonts w:ascii="Calibri" w:cs="Calibri" w:eastAsia="Calibri" w:hAnsi="Calibri"/>
          <w:color w:val="9CA3AF"/>
          <w:sz w:val="20"/>
          <w:szCs w:val="20"/>
        </w:rPr>
        <w:t xml:space="preserve">Owner: [Policy Owner Title]  |  Approved by: [CFO Name]</w:t>
      </w:r>
    </w:p>
    <w:p>
      <w:r>
        <w:br w:type="page"/>
      </w:r>
    </w:p>
    <w:p>
      <w:pPr>
        <w:pStyle w:val="Heading1"/>
        <w:spacing w:after="300"/>
      </w:pPr>
      <w:r>
        <w:rPr>
          <w:rFonts w:ascii="Georgia" w:cs="Georgia" w:eastAsia="Georgia" w:hAnsi="Georgia"/>
          <w:b/>
          <w:bCs/>
          <w:color w:val="0C0C0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 Purpose &amp; Scope</w:t>
      </w:r>
    </w:p>
    <w:p>
      <w:pPr>
        <w:spacing w:after="150" w:before="0"/>
        <w:jc w:val="both"/>
      </w:pPr>
      <w:r>
        <w:rPr>
          <w:rFonts w:ascii="Calibri" w:cs="Calibri" w:eastAsia="Calibri" w:hAnsi="Calibri"/>
          <w:color w:val="333333"/>
          <w:sz w:val="22"/>
          <w:szCs w:val="22"/>
        </w:rPr>
        <w:t xml:space="preserve">This Financial Close and Reporting Policy establishes the standards, procedures, and controls governing [Company Name]'s monthly, quarterly, and annual financial close process. The policy ensures timely, accurate, and complete financial reporting in compliance with US Generally Accepted Accounting Principles (US GAAP), Securities and Exchange Commission (SEC) requirements (if applicable), and internal management reporting standards.</w:t>
      </w:r>
    </w:p>
    <w:p>
      <w:pPr>
        <w:spacing w:after="150" w:before="0"/>
        <w:jc w:val="both"/>
      </w:pPr>
      <w:r>
        <w:rPr>
          <w:rFonts w:ascii="Calibri" w:cs="Calibri" w:eastAsia="Calibri" w:hAnsi="Calibri"/>
          <w:color w:val="333333"/>
          <w:sz w:val="22"/>
          <w:szCs w:val="22"/>
        </w:rPr>
        <w:t xml:space="preserve">This policy applies to all entities, subsidiaries, business units, and geographic locations consolidated in [Company Name]'s financial statements. It governs all activities from sub-ledger close through the issuance of external financial reports and internal management packages.</w:t>
      </w:r>
    </w:p>
    <w:p>
      <w:pPr>
        <w:pStyle w:val="Heading2"/>
        <w:spacing w:after="150" w:before="300"/>
      </w:pPr>
      <w:r>
        <w:rPr>
          <w:rFonts w:ascii="Georgia" w:cs="Georgia" w:eastAsia="Georgia" w:hAnsi="Georgia"/>
          <w:b/>
          <w:bCs/>
          <w:color w:val="333333"/>
          <w:sz w:val="26"/>
          <w:szCs w:val="26"/>
        </w:rPr>
        <w:t xml:space="preserve">1.1 Objectives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Produce accurate, complete, and timely financial statements each reporting period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Establish a repeatable, controlled close process with clear ownership and deadlines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Reduce the financial close cycle time while maintaining or improving quality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Ensure compliance with US GAAP, SEC reporting requirements, and internal policies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Provide management with decision-quality financial information within [X] business days of period end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Maintain audit-ready documentation for all significant close activities and judgments</w:t>
      </w:r>
    </w:p>
    <w:p>
      <w:pPr>
        <w:pStyle w:val="Heading2"/>
        <w:spacing w:after="150" w:before="300"/>
      </w:pPr>
      <w:r>
        <w:rPr>
          <w:rFonts w:ascii="Georgia" w:cs="Georgia" w:eastAsia="Georgia" w:hAnsi="Georgia"/>
          <w:b/>
          <w:bCs/>
          <w:color w:val="333333"/>
          <w:sz w:val="26"/>
          <w:szCs w:val="26"/>
        </w:rPr>
        <w:t xml:space="preserve">1.2 Applicability</w:t>
      </w:r>
    </w:p>
    <w:p>
      <w:pPr>
        <w:spacing w:after="150" w:before="0"/>
        <w:jc w:val="both"/>
      </w:pPr>
      <w:r>
        <w:rPr>
          <w:rFonts w:ascii="Calibri" w:cs="Calibri" w:eastAsia="Calibri" w:hAnsi="Calibri"/>
          <w:color w:val="333333"/>
          <w:sz w:val="22"/>
          <w:szCs w:val="22"/>
        </w:rPr>
        <w:t xml:space="preserve">This policy applies to all accounting, finance, FP&amp;A, tax, treasury, and IT personnel involved in the financial close process. Business unit controllers and subsidiary finance leaders are responsible for ensuring compliance within their respective organizations.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Term</w:t>
            </w:r>
          </w:p>
        </w:tc>
        <w:tc>
          <w:tcPr>
            <w:tcW w:type="dxa" w:w="6160"/>
            <w:shd w:fill="0C0C0C" w:val="clear"/>
          </w:tcPr>
          <w:p>
            <w:pPr>
              <w:spacing w:after="60" w:before="60"/>
            </w:pPr>
            <w:r>
              <w:rPr>
                <w:rFonts w:ascii="Calibri" w:cs="Calibri" w:eastAsia="Calibri" w:hAnsi="Calibri"/>
                <w:b/>
                <w:bCs/>
                <w:color w:val="D4AF37"/>
                <w:sz w:val="20"/>
                <w:szCs w:val="20"/>
              </w:rPr>
              <w:t xml:space="preserve">Definition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Financial Close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process of finalizing all financial transactions, reconciling accounts, and preparing financial statements for a reporting period.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Hard Close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full close with all procedures completed, used for quarterly and annual reporting periods.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Soft Close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streamlined monthly close with selected procedures to produce management reporting without full external-reporting rigor.</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Close Calendar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detailed schedule of tasks, owners, dependencies, and deadlines for each close cycle.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Close Checklist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comprehensive list of all tasks required to complete the financial close, with status tracking and sign-off.</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Materiality Threshold</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dollar amount below which items are not individually significant to the financial statements.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Topside Adjustment</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consolidation-level journal entry not recorded in the sub-ledgers, requiring enhanced documentation and approval.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Reconciliation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process of comparing two sets of records to verify agreement and investigate differences.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Flux Analysis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Variance analysis comparing current period balances to prior period, budget, and forecast to identify unusual items.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Intercompany Elimination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Journal entries that remove the effect of transactions between consolidated entities.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3. Policy Statements</w:t>
      </w:r>
    </w:p>
    <w:p>
      <w:pPr>
        <w:pStyle w:val="Heading2"/>
        <w:spacing w:after="150" w:before="300"/>
      </w:pPr>
      <w:r>
        <w:rPr>
          <w:rFonts w:ascii="Georgia" w:cs="Georgia" w:eastAsia="Georgia" w:hAnsi="Georgia"/>
          <w:b/>
          <w:bCs/>
          <w:color w:val="333333"/>
          <w:sz w:val="26"/>
          <w:szCs w:val="26"/>
        </w:rPr>
        <w:t xml:space="preserve">3.1 Close Timeline Standards</w:t>
      </w:r>
    </w:p>
    <w:p>
      <w:pPr>
        <w:spacing w:after="150" w:before="0"/>
        <w:jc w:val="both"/>
      </w:pPr>
      <w:r>
        <w:rPr>
          <w:rFonts w:ascii="Calibri" w:cs="Calibri" w:eastAsia="Calibri" w:hAnsi="Calibri"/>
          <w:color w:val="333333"/>
          <w:sz w:val="22"/>
          <w:szCs w:val="22"/>
        </w:rPr>
        <w:t xml:space="preserve">[Company Name] shall complete the financial close within the following target timelines: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Close Type</w:t>
            </w:r>
          </w:p>
        </w:tc>
        <w:tc>
          <w:tcPr>
            <w:tcW w:type="dxa" w:w="6160"/>
            <w:shd w:fill="0C0C0C" w:val="clear"/>
          </w:tcPr>
          <w:p>
            <w:pPr>
              <w:spacing w:after="60" w:before="60"/>
            </w:pPr>
            <w:r>
              <w:rPr>
                <w:rFonts w:ascii="Calibri" w:cs="Calibri" w:eastAsia="Calibri" w:hAnsi="Calibri"/>
                <w:b/>
                <w:bCs/>
                <w:color w:val="D4AF37"/>
                <w:sz w:val="20"/>
                <w:szCs w:val="20"/>
              </w:rPr>
              <w:t xml:space="preserve">Target Completion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Monthly Soft Close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[X] business days after month-end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Quarterly Hard Close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[X] business days after quarter-end</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Annual Hard Close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[X] business days after year-end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Management Reporting Package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[X] business days after month-end</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SEC Filing (10-Q)</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40 days after quarter-end (accelerated filers)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SEC Filing (10-K)</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60 days after year-end (large accelerated filers)</w:t>
            </w:r>
          </w:p>
        </w:tc>
      </w:tr>
    </w:tbl>
    <w:p>
      <w:pPr>
        <w:pStyle w:val="Heading2"/>
        <w:spacing w:after="150" w:before="300"/>
      </w:pPr>
      <w:r>
        <w:rPr>
          <w:rFonts w:ascii="Georgia" w:cs="Georgia" w:eastAsia="Georgia" w:hAnsi="Georgia"/>
          <w:b/>
          <w:bCs/>
          <w:color w:val="333333"/>
          <w:sz w:val="26"/>
          <w:szCs w:val="26"/>
        </w:rPr>
        <w:t xml:space="preserve">3.2 Close Calendar and Task Management</w:t>
      </w:r>
    </w:p>
    <w:p>
      <w:pPr>
        <w:spacing w:after="150" w:before="0"/>
        <w:jc w:val="both"/>
      </w:pPr>
      <w:r>
        <w:rPr>
          <w:rFonts w:ascii="Calibri" w:cs="Calibri" w:eastAsia="Calibri" w:hAnsi="Calibri"/>
          <w:color w:val="333333"/>
          <w:sz w:val="22"/>
          <w:szCs w:val="22"/>
        </w:rPr>
        <w:t xml:space="preserve">The Controller shall publish a close calendar at least five business days before each period end. The calendar shall include every close task, assigned owner, dependency relationships, deadline, and sign-off requirement. Task completion shall be tracked in [close management system] with real-time status visibility for all stakeholders.</w:t>
      </w:r>
    </w:p>
    <w:p>
      <w:pPr>
        <w:pStyle w:val="Heading2"/>
        <w:spacing w:after="150" w:before="300"/>
      </w:pPr>
      <w:r>
        <w:rPr>
          <w:rFonts w:ascii="Georgia" w:cs="Georgia" w:eastAsia="Georgia" w:hAnsi="Georgia"/>
          <w:b/>
          <w:bCs/>
          <w:color w:val="333333"/>
          <w:sz w:val="26"/>
          <w:szCs w:val="26"/>
        </w:rPr>
        <w:t xml:space="preserve">3.3 Period-End Cutoff</w:t>
      </w:r>
    </w:p>
    <w:p>
      <w:pPr>
        <w:spacing w:after="150" w:before="0"/>
        <w:jc w:val="both"/>
      </w:pPr>
      <w:r>
        <w:rPr>
          <w:rFonts w:ascii="Calibri" w:cs="Calibri" w:eastAsia="Calibri" w:hAnsi="Calibri"/>
          <w:color w:val="333333"/>
          <w:sz w:val="22"/>
          <w:szCs w:val="22"/>
        </w:rPr>
        <w:t xml:space="preserve">All transactions for the reporting period shall be recorded by the cutoff deadline specified in the close calendar. Revenue, expenses, cash receipts, and disbursements must be recorded in the period in which the underlying economic event occurred, regardless of when documentation is received. Late entries after the cutoff deadline require Controller approval and documentation of the reason for the delay.</w:t>
      </w:r>
    </w:p>
    <w:p>
      <w:pPr>
        <w:pStyle w:val="Heading2"/>
        <w:spacing w:after="150" w:before="300"/>
      </w:pPr>
      <w:r>
        <w:rPr>
          <w:rFonts w:ascii="Georgia" w:cs="Georgia" w:eastAsia="Georgia" w:hAnsi="Georgia"/>
          <w:b/>
          <w:bCs/>
          <w:color w:val="333333"/>
          <w:sz w:val="26"/>
          <w:szCs w:val="26"/>
        </w:rPr>
        <w:t xml:space="preserve">3.4 Segregation of Duties</w:t>
      </w:r>
    </w:p>
    <w:p>
      <w:pPr>
        <w:spacing w:after="150" w:before="0"/>
        <w:jc w:val="both"/>
      </w:pPr>
      <w:r>
        <w:rPr>
          <w:rFonts w:ascii="Calibri" w:cs="Calibri" w:eastAsia="Calibri" w:hAnsi="Calibri"/>
          <w:color w:val="333333"/>
          <w:sz w:val="22"/>
          <w:szCs w:val="22"/>
        </w:rPr>
        <w:t xml:space="preserve">No single individual shall have the ability to initiate, approve, and record a financial transaction without independent review. Journal entries require preparation by one individual and approval by a different individual with appropriate authority. The individual preparing a reconciliation shall not be the sole approver.</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4.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Responsibilities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Chief Financial Officer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Owns the financial reporting process. Reviews and approves quarterly and annual financial statements. Certifies financial statements under SOX Sections 302 and 906 (if applicable). Presents financial results to the board and investors.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Controller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Manages the close process end-to-end. Publishes the close calendar. Reviews all significant journal entries, reconciliations, and estimates. Approves the final trial balance. Ensures GAAP compliance.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Accounting Manager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Supervises day-to-day close execution. Reviews staff accountant work. Escalates issues to the Controller. Manages the close checklist and tracks task completion.</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Staff / Senior Accountant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Prepares journal entries, reconciliations, and supporting schedules per assigned tasks. Completes tasks by the close calendar deadline. Documents all work to audit-ready standards.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FP&amp;A</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Prepares management reporting packages, variance analysis, and commentary. Validates budget-to-actual comparisons. Supports the Controller with analytical review procedures.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Tax</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Prepares the quarterly tax provision. Provides tax accrual entries by the close calendar deadline. Reviews tax-sensitive transactions.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Treasury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Provides daily cash balances, bank reconciliation support, and debt/investment position summaries by close deadline.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IT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Ensures system availability during the close. Supports batch processing, report generation, and access management. Resolves system issues impacting the close timeline.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Subsidiary Controllers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Complete the local close per the corporate close calendar. Submit the reporting package by the corporate deadline. Respond to consolidation inquiries.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5. Detailed Procedures</w:t>
      </w:r>
    </w:p>
    <w:p>
      <w:pPr>
        <w:pStyle w:val="Heading2"/>
        <w:spacing w:after="150" w:before="300"/>
      </w:pPr>
      <w:r>
        <w:rPr>
          <w:rFonts w:ascii="Georgia" w:cs="Georgia" w:eastAsia="Georgia" w:hAnsi="Georgia"/>
          <w:b/>
          <w:bCs/>
          <w:color w:val="333333"/>
          <w:sz w:val="26"/>
          <w:szCs w:val="26"/>
        </w:rPr>
        <w:t xml:space="preserve">5.1 Pre-Close Procedures (Day -3 to Day 0)</w:t>
      </w:r>
    </w:p>
    <w:p>
      <w:pPr>
        <w:pStyle w:val="Heading3"/>
        <w:spacing w:after="100" w:before="200"/>
      </w:pPr>
      <w:r>
        <w:rPr>
          <w:rFonts w:ascii="Georgia" w:cs="Georgia" w:eastAsia="Georgia" w:hAnsi="Georgia"/>
          <w:b/>
          <w:bCs/>
          <w:color w:val="444444"/>
          <w:sz w:val="22"/>
          <w:szCs w:val="22"/>
        </w:rPr>
        <w:t xml:space="preserve">5.1.1 Close Calendar Distribution</w:t>
      </w:r>
    </w:p>
    <w:p>
      <w:pPr>
        <w:spacing w:after="150" w:before="0"/>
        <w:jc w:val="both"/>
      </w:pPr>
      <w:r>
        <w:rPr>
          <w:rFonts w:ascii="Calibri" w:cs="Calibri" w:eastAsia="Calibri" w:hAnsi="Calibri"/>
          <w:color w:val="333333"/>
          <w:sz w:val="22"/>
          <w:szCs w:val="22"/>
        </w:rPr>
        <w:t xml:space="preserve">The Controller or Accounting Manager shall distribute the close calendar to all participants at least three business days before period end. The calendar shall be posted in [close management system] and include email notification to all task owners.</w:t>
      </w:r>
    </w:p>
    <w:p>
      <w:pPr>
        <w:pStyle w:val="Heading3"/>
        <w:spacing w:after="100" w:before="200"/>
      </w:pPr>
      <w:r>
        <w:rPr>
          <w:rFonts w:ascii="Georgia" w:cs="Georgia" w:eastAsia="Georgia" w:hAnsi="Georgia"/>
          <w:b/>
          <w:bCs/>
          <w:color w:val="444444"/>
          <w:sz w:val="22"/>
          <w:szCs w:val="22"/>
        </w:rPr>
        <w:t xml:space="preserve">5.1.2 System Readiness</w:t>
      </w:r>
    </w:p>
    <w:p>
      <w:pPr>
        <w:spacing w:after="150" w:before="0"/>
        <w:jc w:val="both"/>
      </w:pPr>
      <w:r>
        <w:rPr>
          <w:rFonts w:ascii="Calibri" w:cs="Calibri" w:eastAsia="Calibri" w:hAnsi="Calibri"/>
          <w:color w:val="333333"/>
          <w:sz w:val="22"/>
          <w:szCs w:val="22"/>
        </w:rPr>
        <w:t xml:space="preserve">IT shall confirm system readiness: ERP period is open, sub-ledger interfaces are functioning, and consolidation system is prepared for data receipt. Any planned system maintenance shall be coordinated with the close calendar.</w:t>
      </w:r>
    </w:p>
    <w:p>
      <w:pPr>
        <w:pStyle w:val="Heading3"/>
        <w:spacing w:after="100" w:before="200"/>
      </w:pPr>
      <w:r>
        <w:rPr>
          <w:rFonts w:ascii="Georgia" w:cs="Georgia" w:eastAsia="Georgia" w:hAnsi="Georgia"/>
          <w:b/>
          <w:bCs/>
          <w:color w:val="444444"/>
          <w:sz w:val="22"/>
          <w:szCs w:val="22"/>
        </w:rPr>
        <w:t xml:space="preserve">5.1.3 Cutoff Procedures</w:t>
      </w:r>
    </w:p>
    <w:p>
      <w:pPr>
        <w:spacing w:after="150" w:before="0"/>
        <w:jc w:val="both"/>
      </w:pPr>
      <w:r>
        <w:rPr>
          <w:rFonts w:ascii="Calibri" w:cs="Calibri" w:eastAsia="Calibri" w:hAnsi="Calibri"/>
          <w:color w:val="333333"/>
          <w:sz w:val="22"/>
          <w:szCs w:val="22"/>
        </w:rPr>
        <w:t xml:space="preserve">The following cutoff procedures shall be completed by end-of-day on the last business day of the period: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approved purchase orders are receipted and matched to invoices where goods/services have been received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customer invoices for the period are generated and posted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cash receipts and disbursements are recorded through the last business day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Payroll for the period is processed and posted (or accrued if processing date falls after period end)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Inventory counts or cycle counts are completed for the period</w:t>
      </w:r>
    </w:p>
    <w:p>
      <w:pPr>
        <w:pStyle w:val="Heading2"/>
        <w:spacing w:after="150" w:before="300"/>
      </w:pPr>
      <w:r>
        <w:rPr>
          <w:rFonts w:ascii="Georgia" w:cs="Georgia" w:eastAsia="Georgia" w:hAnsi="Georgia"/>
          <w:b/>
          <w:bCs/>
          <w:color w:val="333333"/>
          <w:sz w:val="26"/>
          <w:szCs w:val="26"/>
        </w:rPr>
        <w:t xml:space="preserve">5.2 Sub-Ledger Close (Day 1–3)</w:t>
      </w:r>
    </w:p>
    <w:p>
      <w:pPr>
        <w:pStyle w:val="Heading3"/>
        <w:spacing w:after="100" w:before="200"/>
      </w:pPr>
      <w:r>
        <w:rPr>
          <w:rFonts w:ascii="Georgia" w:cs="Georgia" w:eastAsia="Georgia" w:hAnsi="Georgia"/>
          <w:b/>
          <w:bCs/>
          <w:color w:val="444444"/>
          <w:sz w:val="22"/>
          <w:szCs w:val="22"/>
        </w:rPr>
        <w:t xml:space="preserve">5.2.1 Accounts Receivable</w:t>
      </w:r>
    </w:p>
    <w:p>
      <w:pPr>
        <w:spacing w:after="150" w:before="0"/>
        <w:jc w:val="both"/>
      </w:pPr>
      <w:r>
        <w:rPr>
          <w:rFonts w:ascii="Calibri" w:cs="Calibri" w:eastAsia="Calibri" w:hAnsi="Calibri"/>
          <w:color w:val="333333"/>
          <w:sz w:val="22"/>
          <w:szCs w:val="22"/>
        </w:rPr>
        <w:t xml:space="preserve">Complete billing for all shipped or delivered goods/services. Post all cash receipts. Run the AR aging report. Calculate the allowance for doubtful accounts. Record bad debt expense adjustments.</w:t>
      </w:r>
    </w:p>
    <w:p>
      <w:pPr>
        <w:pStyle w:val="Heading3"/>
        <w:spacing w:after="100" w:before="200"/>
      </w:pPr>
      <w:r>
        <w:rPr>
          <w:rFonts w:ascii="Georgia" w:cs="Georgia" w:eastAsia="Georgia" w:hAnsi="Georgia"/>
          <w:b/>
          <w:bCs/>
          <w:color w:val="444444"/>
          <w:sz w:val="22"/>
          <w:szCs w:val="22"/>
        </w:rPr>
        <w:t xml:space="preserve">5.2.2 Accounts Payable</w:t>
      </w:r>
    </w:p>
    <w:p>
      <w:pPr>
        <w:spacing w:after="150" w:before="0"/>
        <w:jc w:val="both"/>
      </w:pPr>
      <w:r>
        <w:rPr>
          <w:rFonts w:ascii="Calibri" w:cs="Calibri" w:eastAsia="Calibri" w:hAnsi="Calibri"/>
          <w:color w:val="333333"/>
          <w:sz w:val="22"/>
          <w:szCs w:val="22"/>
        </w:rPr>
        <w:t xml:space="preserve">Process all invoices received through the cutoff date. Record accruals for goods/services received but not yet invoiced (GRNI). Match three-way: PO, receipt, and invoice. Run the AP aging report.</w:t>
      </w:r>
    </w:p>
    <w:p>
      <w:pPr>
        <w:pStyle w:val="Heading3"/>
        <w:spacing w:after="100" w:before="200"/>
      </w:pPr>
      <w:r>
        <w:rPr>
          <w:rFonts w:ascii="Georgia" w:cs="Georgia" w:eastAsia="Georgia" w:hAnsi="Georgia"/>
          <w:b/>
          <w:bCs/>
          <w:color w:val="444444"/>
          <w:sz w:val="22"/>
          <w:szCs w:val="22"/>
        </w:rPr>
        <w:t xml:space="preserve">5.2.3 Payroll</w:t>
      </w:r>
    </w:p>
    <w:p>
      <w:pPr>
        <w:spacing w:after="150" w:before="0"/>
        <w:jc w:val="both"/>
      </w:pPr>
      <w:r>
        <w:rPr>
          <w:rFonts w:ascii="Calibri" w:cs="Calibri" w:eastAsia="Calibri" w:hAnsi="Calibri"/>
          <w:color w:val="333333"/>
          <w:sz w:val="22"/>
          <w:szCs w:val="22"/>
        </w:rPr>
        <w:t xml:space="preserve">Verify payroll has been processed and posted to the correct period. Record stub payroll accruals for days between the last pay date and period end. Post employer payroll taxes and benefit accruals.</w:t>
      </w:r>
    </w:p>
    <w:p>
      <w:pPr>
        <w:pStyle w:val="Heading3"/>
        <w:spacing w:after="100" w:before="200"/>
      </w:pPr>
      <w:r>
        <w:rPr>
          <w:rFonts w:ascii="Georgia" w:cs="Georgia" w:eastAsia="Georgia" w:hAnsi="Georgia"/>
          <w:b/>
          <w:bCs/>
          <w:color w:val="444444"/>
          <w:sz w:val="22"/>
          <w:szCs w:val="22"/>
        </w:rPr>
        <w:t xml:space="preserve">5.2.4 Fixed Assets</w:t>
      </w:r>
    </w:p>
    <w:p>
      <w:pPr>
        <w:spacing w:after="150" w:before="0"/>
        <w:jc w:val="both"/>
      </w:pPr>
      <w:r>
        <w:rPr>
          <w:rFonts w:ascii="Calibri" w:cs="Calibri" w:eastAsia="Calibri" w:hAnsi="Calibri"/>
          <w:color w:val="333333"/>
          <w:sz w:val="22"/>
          <w:szCs w:val="22"/>
        </w:rPr>
        <w:t xml:space="preserve">Record asset additions and disposals. Run depreciation for the period. Update the fixed asset register. Reconcile the sub-ledger to the GL.</w:t>
      </w:r>
    </w:p>
    <w:p>
      <w:pPr>
        <w:pStyle w:val="Heading3"/>
        <w:spacing w:after="100" w:before="200"/>
      </w:pPr>
      <w:r>
        <w:rPr>
          <w:rFonts w:ascii="Georgia" w:cs="Georgia" w:eastAsia="Georgia" w:hAnsi="Georgia"/>
          <w:b/>
          <w:bCs/>
          <w:color w:val="444444"/>
          <w:sz w:val="22"/>
          <w:szCs w:val="22"/>
        </w:rPr>
        <w:t xml:space="preserve">5.2.5 Inventory</w:t>
      </w:r>
    </w:p>
    <w:p>
      <w:pPr>
        <w:spacing w:after="150" w:before="0"/>
        <w:jc w:val="both"/>
      </w:pPr>
      <w:r>
        <w:rPr>
          <w:rFonts w:ascii="Calibri" w:cs="Calibri" w:eastAsia="Calibri" w:hAnsi="Calibri"/>
          <w:color w:val="333333"/>
          <w:sz w:val="22"/>
          <w:szCs w:val="22"/>
        </w:rPr>
        <w:t xml:space="preserve">Post inventory receipts and issues. Record standard cost variances. Process cycle count adjustments. Evaluate and adjust obsolescence reserves.</w:t>
      </w:r>
    </w:p>
    <w:p>
      <w:pPr>
        <w:pStyle w:val="Heading2"/>
        <w:spacing w:after="150" w:before="300"/>
      </w:pPr>
      <w:r>
        <w:rPr>
          <w:rFonts w:ascii="Georgia" w:cs="Georgia" w:eastAsia="Georgia" w:hAnsi="Georgia"/>
          <w:b/>
          <w:bCs/>
          <w:color w:val="333333"/>
          <w:sz w:val="26"/>
          <w:szCs w:val="26"/>
        </w:rPr>
        <w:t xml:space="preserve">5.3 General Ledger Close (Day 3–5)</w:t>
      </w:r>
    </w:p>
    <w:p>
      <w:pPr>
        <w:pStyle w:val="Heading3"/>
        <w:spacing w:after="100" w:before="200"/>
      </w:pPr>
      <w:r>
        <w:rPr>
          <w:rFonts w:ascii="Georgia" w:cs="Georgia" w:eastAsia="Georgia" w:hAnsi="Georgia"/>
          <w:b/>
          <w:bCs/>
          <w:color w:val="444444"/>
          <w:sz w:val="22"/>
          <w:szCs w:val="22"/>
        </w:rPr>
        <w:t xml:space="preserve">5.3.1 Standard Journal Entries</w:t>
      </w:r>
    </w:p>
    <w:p>
      <w:pPr>
        <w:spacing w:after="150" w:before="0"/>
        <w:jc w:val="both"/>
      </w:pPr>
      <w:r>
        <w:rPr>
          <w:rFonts w:ascii="Calibri" w:cs="Calibri" w:eastAsia="Calibri" w:hAnsi="Calibri"/>
          <w:color w:val="333333"/>
          <w:sz w:val="22"/>
          <w:szCs w:val="22"/>
        </w:rPr>
        <w:t xml:space="preserve">Post all recurring and standard journal entries per the close schedule: prepaid amortization, deferred revenue recognition, lease amortization, depreciation, and other systematic entries.</w:t>
      </w:r>
    </w:p>
    <w:p>
      <w:pPr>
        <w:pStyle w:val="Heading3"/>
        <w:spacing w:after="100" w:before="200"/>
      </w:pPr>
      <w:r>
        <w:rPr>
          <w:rFonts w:ascii="Georgia" w:cs="Georgia" w:eastAsia="Georgia" w:hAnsi="Georgia"/>
          <w:b/>
          <w:bCs/>
          <w:color w:val="444444"/>
          <w:sz w:val="22"/>
          <w:szCs w:val="22"/>
        </w:rPr>
        <w:t xml:space="preserve">5.3.2 Accruals and Estimates</w:t>
      </w:r>
    </w:p>
    <w:p>
      <w:pPr>
        <w:spacing w:after="150" w:before="0"/>
        <w:jc w:val="both"/>
      </w:pPr>
      <w:r>
        <w:rPr>
          <w:rFonts w:ascii="Calibri" w:cs="Calibri" w:eastAsia="Calibri" w:hAnsi="Calibri"/>
          <w:color w:val="333333"/>
          <w:sz w:val="22"/>
          <w:szCs w:val="22"/>
        </w:rPr>
        <w:t xml:space="preserve">Record period-end accruals for expenses incurred but not yet invoiced. All accruals above the materiality threshold shall include supporting documentation and calculations. Estimates shall be based on the best available information and documented with assumptions.</w:t>
      </w:r>
    </w:p>
    <w:p>
      <w:pPr>
        <w:pStyle w:val="Heading3"/>
        <w:spacing w:after="100" w:before="200"/>
      </w:pPr>
      <w:r>
        <w:rPr>
          <w:rFonts w:ascii="Georgia" w:cs="Georgia" w:eastAsia="Georgia" w:hAnsi="Georgia"/>
          <w:b/>
          <w:bCs/>
          <w:color w:val="444444"/>
          <w:sz w:val="22"/>
          <w:szCs w:val="22"/>
        </w:rPr>
        <w:t xml:space="preserve">5.3.3 Manual Journal Entries</w:t>
      </w:r>
    </w:p>
    <w:p>
      <w:pPr>
        <w:spacing w:after="150" w:before="0"/>
        <w:jc w:val="both"/>
      </w:pPr>
      <w:r>
        <w:rPr>
          <w:rFonts w:ascii="Calibri" w:cs="Calibri" w:eastAsia="Calibri" w:hAnsi="Calibri"/>
          <w:color w:val="333333"/>
          <w:sz w:val="22"/>
          <w:szCs w:val="22"/>
        </w:rPr>
        <w:t xml:space="preserve">All manual journal entries shall include: description of the business purpose, supporting documentation reference, preparer name and date, and approver name and date. Manual entries above [threshold] require Controller approval. All manual entries shall be reviewed monthly by the Accounting Manager for appropriateness.</w:t>
      </w:r>
    </w:p>
    <w:p>
      <w:pPr>
        <w:pStyle w:val="Heading3"/>
        <w:spacing w:after="100" w:before="200"/>
      </w:pPr>
      <w:r>
        <w:rPr>
          <w:rFonts w:ascii="Georgia" w:cs="Georgia" w:eastAsia="Georgia" w:hAnsi="Georgia"/>
          <w:b/>
          <w:bCs/>
          <w:color w:val="444444"/>
          <w:sz w:val="22"/>
          <w:szCs w:val="22"/>
        </w:rPr>
        <w:t xml:space="preserve">5.3.4 Intercompany Transactions</w:t>
      </w:r>
    </w:p>
    <w:p>
      <w:pPr>
        <w:spacing w:after="150" w:before="0"/>
        <w:jc w:val="both"/>
      </w:pPr>
      <w:r>
        <w:rPr>
          <w:rFonts w:ascii="Calibri" w:cs="Calibri" w:eastAsia="Calibri" w:hAnsi="Calibri"/>
          <w:color w:val="333333"/>
          <w:sz w:val="22"/>
          <w:szCs w:val="22"/>
        </w:rPr>
        <w:t xml:space="preserve">All intercompany invoices shall be processed by Day 2. Intercompany balances shall be reconciled across all entity pairs by Day 3. Discrepancies must be resolved before consolidation. Elimination entries are posted per the documented elimination schedule.</w:t>
      </w:r>
    </w:p>
    <w:p>
      <w:pPr>
        <w:pStyle w:val="Heading2"/>
        <w:spacing w:after="150" w:before="300"/>
      </w:pPr>
      <w:r>
        <w:rPr>
          <w:rFonts w:ascii="Georgia" w:cs="Georgia" w:eastAsia="Georgia" w:hAnsi="Georgia"/>
          <w:b/>
          <w:bCs/>
          <w:color w:val="333333"/>
          <w:sz w:val="26"/>
          <w:szCs w:val="26"/>
        </w:rPr>
        <w:t xml:space="preserve">5.4 Reconciliation (Day 2–5)</w:t>
      </w:r>
    </w:p>
    <w:p>
      <w:pPr>
        <w:spacing w:after="150" w:before="0"/>
        <w:jc w:val="both"/>
      </w:pPr>
      <w:r>
        <w:rPr>
          <w:rFonts w:ascii="Calibri" w:cs="Calibri" w:eastAsia="Calibri" w:hAnsi="Calibri"/>
          <w:color w:val="333333"/>
          <w:sz w:val="22"/>
          <w:szCs w:val="22"/>
        </w:rPr>
        <w:t xml:space="preserve">All balance sheet accounts shall be reconciled monthly. The following standards apply: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Every reconciliation shall include: GL balance, supporting balance, reconciling items with descriptions, and preparer/reviewer sign-off</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Reconciling items older than 60 days require written explanation and action plan for resolution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Bank reconciliations shall be completed within 3 business days of month-end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Critical reconciliations (cash, AR, AP, inventory, debt) require Accounting Manager or Controller review</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reconciliations shall be stored in [reconciliation system] with electronic sign-off</w:t>
      </w:r>
    </w:p>
    <w:p>
      <w:pPr>
        <w:pStyle w:val="Heading2"/>
        <w:spacing w:after="150" w:before="300"/>
      </w:pPr>
      <w:r>
        <w:rPr>
          <w:rFonts w:ascii="Georgia" w:cs="Georgia" w:eastAsia="Georgia" w:hAnsi="Georgia"/>
          <w:b/>
          <w:bCs/>
          <w:color w:val="333333"/>
          <w:sz w:val="26"/>
          <w:szCs w:val="26"/>
        </w:rPr>
        <w:t xml:space="preserve">5.5 Consolidation (Day 4–6)</w:t>
      </w:r>
    </w:p>
    <w:p>
      <w:pPr>
        <w:spacing w:after="150" w:before="0"/>
        <w:jc w:val="both"/>
      </w:pPr>
      <w:r>
        <w:rPr>
          <w:rFonts w:ascii="Calibri" w:cs="Calibri" w:eastAsia="Calibri" w:hAnsi="Calibri"/>
          <w:color w:val="333333"/>
          <w:sz w:val="22"/>
          <w:szCs w:val="22"/>
        </w:rPr>
        <w:t xml:space="preserve">The consolidation process includes: receiving and validating subsidiary reporting packages, currency translation, intercompany eliminations, topside adjustments, and production of consolidated financial statements. All consolidation entries shall be documented with supporting calculations.</w:t>
      </w:r>
    </w:p>
    <w:p>
      <w:pPr>
        <w:pStyle w:val="Heading2"/>
        <w:spacing w:after="150" w:before="300"/>
      </w:pPr>
      <w:r>
        <w:rPr>
          <w:rFonts w:ascii="Georgia" w:cs="Georgia" w:eastAsia="Georgia" w:hAnsi="Georgia"/>
          <w:b/>
          <w:bCs/>
          <w:color w:val="333333"/>
          <w:sz w:val="26"/>
          <w:szCs w:val="26"/>
        </w:rPr>
        <w:t xml:space="preserve">5.6 Analytical Review (Day 5–7)</w:t>
      </w:r>
    </w:p>
    <w:p>
      <w:pPr>
        <w:spacing w:after="150" w:before="0"/>
        <w:jc w:val="both"/>
      </w:pPr>
      <w:r>
        <w:rPr>
          <w:rFonts w:ascii="Calibri" w:cs="Calibri" w:eastAsia="Calibri" w:hAnsi="Calibri"/>
          <w:color w:val="333333"/>
          <w:sz w:val="22"/>
          <w:szCs w:val="22"/>
        </w:rPr>
        <w:t xml:space="preserve">The Controller shall perform analytical review procedures including: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Income statement flux analysis: current period vs. prior period, current period vs. budget, and current period vs. forecast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Balance sheet flux analysis: period-over-period changes with explanations for all movements exceeding [threshold]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Ratio analysis: gross margin, operating margin, DSO, DPO, DIO, and other relevant KPIs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Investigation and resolution of all unexplained fluctuations before financial statement issuance</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6. Approval Authorities &amp; Thresholds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Activity</w:t>
            </w:r>
          </w:p>
        </w:tc>
        <w:tc>
          <w:tcPr>
            <w:tcW w:type="dxa" w:w="2400"/>
            <w:shd w:fill="0C0C0C" w:val="clear"/>
          </w:tcPr>
          <w:p>
            <w:pPr>
              <w:spacing w:after="60" w:before="60"/>
            </w:pPr>
            <w:r>
              <w:rPr>
                <w:rFonts w:ascii="Calibri" w:cs="Calibri" w:eastAsia="Calibri" w:hAnsi="Calibri"/>
                <w:b/>
                <w:bCs/>
                <w:color w:val="D4AF37"/>
                <w:sz w:val="20"/>
                <w:szCs w:val="20"/>
              </w:rPr>
              <w:t xml:space="preserve">Threshold</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Routine journal entries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$50K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Non-routine journal entries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$50K – $500K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Non-routine journal entries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&gt; $500K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CFO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Topside / consolidation adjustments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Accrual estimates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$100K</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Accrual estimates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&gt; $100K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Bad debt write-offs</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&lt; $25K per account</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Bad debt write-offs</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&gt; $25K per account</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Period reopening after close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Late entries after cutoff</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bl>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All thresholds are subject to annual review and adjustment based on company size and materiality levels.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7. Exceptions &amp; Escalation</w:t>
      </w:r>
    </w:p>
    <w:p>
      <w:pPr>
        <w:pStyle w:val="Heading2"/>
        <w:spacing w:after="150" w:before="300"/>
      </w:pPr>
      <w:r>
        <w:rPr>
          <w:rFonts w:ascii="Georgia" w:cs="Georgia" w:eastAsia="Georgia" w:hAnsi="Georgia"/>
          <w:b/>
          <w:bCs/>
          <w:color w:val="333333"/>
          <w:sz w:val="26"/>
          <w:szCs w:val="26"/>
        </w:rPr>
        <w:t xml:space="preserve">7.1 Late Close Exceptions</w:t>
      </w:r>
    </w:p>
    <w:p>
      <w:pPr>
        <w:spacing w:after="150" w:before="0"/>
        <w:jc w:val="both"/>
      </w:pPr>
      <w:r>
        <w:rPr>
          <w:rFonts w:ascii="Calibri" w:cs="Calibri" w:eastAsia="Calibri" w:hAnsi="Calibri"/>
          <w:color w:val="333333"/>
          <w:sz w:val="22"/>
          <w:szCs w:val="22"/>
        </w:rPr>
        <w:t xml:space="preserve">If the close timeline cannot be met, the Controller shall notify the CFO immediately and provide: reason for the delay, estimated completion date, impact on downstream deliverables, and mitigation plan. All late close events shall be documented in the close retrospective.</w:t>
      </w:r>
    </w:p>
    <w:p>
      <w:pPr>
        <w:pStyle w:val="Heading2"/>
        <w:spacing w:after="150" w:before="300"/>
      </w:pPr>
      <w:r>
        <w:rPr>
          <w:rFonts w:ascii="Georgia" w:cs="Georgia" w:eastAsia="Georgia" w:hAnsi="Georgia"/>
          <w:b/>
          <w:bCs/>
          <w:color w:val="333333"/>
          <w:sz w:val="26"/>
          <w:szCs w:val="26"/>
        </w:rPr>
        <w:t xml:space="preserve">7.2 Restatement and Error Correction</w:t>
      </w:r>
    </w:p>
    <w:p>
      <w:pPr>
        <w:spacing w:after="150" w:before="0"/>
        <w:jc w:val="both"/>
      </w:pPr>
      <w:r>
        <w:rPr>
          <w:rFonts w:ascii="Calibri" w:cs="Calibri" w:eastAsia="Calibri" w:hAnsi="Calibri"/>
          <w:color w:val="333333"/>
          <w:sz w:val="22"/>
          <w:szCs w:val="22"/>
        </w:rPr>
        <w:t xml:space="preserve">Errors discovered after the close period has been finalized shall be evaluated for materiality. Immaterial errors shall be corrected in the current period with documentation. Material errors require assessment of restatement obligations per ASC 250 and immediate escalation to the CFO and external auditors.</w:t>
      </w:r>
    </w:p>
    <w:p>
      <w:pPr>
        <w:pStyle w:val="Heading2"/>
        <w:spacing w:after="150" w:before="300"/>
      </w:pPr>
      <w:r>
        <w:rPr>
          <w:rFonts w:ascii="Georgia" w:cs="Georgia" w:eastAsia="Georgia" w:hAnsi="Georgia"/>
          <w:b/>
          <w:bCs/>
          <w:color w:val="333333"/>
          <w:sz w:val="26"/>
          <w:szCs w:val="26"/>
        </w:rPr>
        <w:t xml:space="preserve">7.3 Escalation Protocol</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Accounting Manager — task-level issues, process questions, reconciliation items</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Controller — judgment items, estimate methodology, policy interpretation, timeline risks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CFO — material adjustments, restatement potential, external auditor disagreements</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Audit Committee — material misstatement, fraud indicators, internal control failures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8. Compliance Monitoring &amp; Testing</w:t>
      </w:r>
    </w:p>
    <w:p>
      <w:pPr>
        <w:pStyle w:val="Heading2"/>
        <w:spacing w:after="150" w:before="300"/>
      </w:pPr>
      <w:r>
        <w:rPr>
          <w:rFonts w:ascii="Georgia" w:cs="Georgia" w:eastAsia="Georgia" w:hAnsi="Georgia"/>
          <w:b/>
          <w:bCs/>
          <w:color w:val="333333"/>
          <w:sz w:val="26"/>
          <w:szCs w:val="26"/>
        </w:rPr>
        <w:t xml:space="preserve">8.1 Ongoing Monitoring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Close checklist completion rates tracked and reported to CFO monthly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Reconciliation timeliness and quality metrics reviewed monthly by Controller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Journal entry testing performed monthly (sample of manual entries for proper authorization and support)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Close cycle time tracked and benchmarked against target and industry peers</w:t>
      </w:r>
    </w:p>
    <w:p>
      <w:pPr>
        <w:pStyle w:val="Heading2"/>
        <w:spacing w:after="150" w:before="300"/>
      </w:pPr>
      <w:r>
        <w:rPr>
          <w:rFonts w:ascii="Georgia" w:cs="Georgia" w:eastAsia="Georgia" w:hAnsi="Georgia"/>
          <w:b/>
          <w:bCs/>
          <w:color w:val="333333"/>
          <w:sz w:val="26"/>
          <w:szCs w:val="26"/>
        </w:rPr>
        <w:t xml:space="preserve">8.2 Periodic Testing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internal audit of the close process covering task execution, reconciliation quality, and journal entry controls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review of significant estimates and accruals for reasonableness and consistency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close retrospective documenting lessons learned and process improvements</w:t>
      </w:r>
    </w:p>
    <w:p>
      <w:pPr>
        <w:pStyle w:val="Heading2"/>
        <w:spacing w:after="150" w:before="300"/>
      </w:pPr>
      <w:r>
        <w:rPr>
          <w:rFonts w:ascii="Georgia" w:cs="Georgia" w:eastAsia="Georgia" w:hAnsi="Georgia"/>
          <w:b/>
          <w:bCs/>
          <w:color w:val="333333"/>
          <w:sz w:val="26"/>
          <w:szCs w:val="26"/>
        </w:rPr>
        <w:t xml:space="preserve">8.3 Close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Metric</w:t>
            </w:r>
          </w:p>
        </w:tc>
        <w:tc>
          <w:tcPr>
            <w:tcW w:type="dxa" w:w="6160"/>
            <w:shd w:fill="0C0C0C" w:val="clear"/>
          </w:tcPr>
          <w:p>
            <w:pPr>
              <w:spacing w:after="60" w:before="60"/>
            </w:pPr>
            <w:r>
              <w:rPr>
                <w:rFonts w:ascii="Calibri" w:cs="Calibri" w:eastAsia="Calibri" w:hAnsi="Calibri"/>
                <w:b/>
                <w:bCs/>
                <w:color w:val="D4AF37"/>
                <w:sz w:val="20"/>
                <w:szCs w:val="20"/>
              </w:rPr>
              <w:t xml:space="preserve">Target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Close cycle time (monthly)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[X] business days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Reconciliation completion rate by deadline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100%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Post-close adjustments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3 per period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Audit adjustments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Zero material adjustments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Task completion by deadline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&gt; 95%</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9. Related Policies &amp; References</w:t>
      </w:r>
    </w:p>
    <w:p>
      <w:pPr>
        <w:pStyle w:val="Heading2"/>
        <w:spacing w:after="150" w:before="300"/>
      </w:pPr>
      <w:r>
        <w:rPr>
          <w:rFonts w:ascii="Georgia" w:cs="Georgia" w:eastAsia="Georgia" w:hAnsi="Georgia"/>
          <w:b/>
          <w:bCs/>
          <w:color w:val="333333"/>
          <w:sz w:val="26"/>
          <w:szCs w:val="26"/>
        </w:rPr>
        <w:t xml:space="preserve">9.1 Internal Policies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Revenue Recognition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General Ledger &amp; Journal Entry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Accounts Payable &amp; Disbursement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Accounts Receivable &amp; Credit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Internal Controls &amp; SOX Compliance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Delegation of Authority Policy</w:t>
      </w:r>
    </w:p>
    <w:p>
      <w:pPr>
        <w:pStyle w:val="Heading2"/>
        <w:spacing w:after="150" w:before="300"/>
      </w:pPr>
      <w:r>
        <w:rPr>
          <w:rFonts w:ascii="Georgia" w:cs="Georgia" w:eastAsia="Georgia" w:hAnsi="Georgia"/>
          <w:b/>
          <w:bCs/>
          <w:color w:val="333333"/>
          <w:sz w:val="26"/>
          <w:szCs w:val="26"/>
        </w:rPr>
        <w:t xml:space="preserve">9.2 External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250, Accounting Changes and Error Corrections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855, Subsequent Events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SEC Regulation S-X, Article 10 (Interim Financial Statements)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SEC Regulation S-K, Item 303 (MD&amp;A)</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SOX Sections 302 and 906 (CEO/CFO Certifications)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10. Appendices</w:t>
      </w:r>
    </w:p>
    <w:p>
      <w:pPr>
        <w:pStyle w:val="Heading2"/>
        <w:spacing w:after="150" w:before="300"/>
      </w:pPr>
      <w:r>
        <w:rPr>
          <w:rFonts w:ascii="Georgia" w:cs="Georgia" w:eastAsia="Georgia" w:hAnsi="Georgia"/>
          <w:b/>
          <w:bCs/>
          <w:color w:val="333333"/>
          <w:sz w:val="26"/>
          <w:szCs w:val="26"/>
        </w:rPr>
        <w:t xml:space="preserve">Appendix A — Monthly Close Checklist Template</w:t>
      </w:r>
    </w:p>
    <w:p>
      <w:pPr>
        <w:spacing w:after="150" w:before="0"/>
        <w:jc w:val="both"/>
      </w:pPr>
      <w:r>
        <w:rPr>
          <w:rFonts w:ascii="Calibri" w:cs="Calibri" w:eastAsia="Calibri" w:hAnsi="Calibri"/>
          <w:color w:val="333333"/>
          <w:sz w:val="22"/>
          <w:szCs w:val="22"/>
        </w:rPr>
        <w:t xml:space="preserve">The standardized monthly close checklist includes the following phases:</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Pre-Close Preparation (Day -3 to 0): System readiness, cutoff notifications, calendar distribution</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Sub-Ledger Close (Day 1–3): AR, AP, payroll, fixed assets, inventory close procedures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GL Close (Day 3–5): Journal entries, accruals, intercompany, and consolidation</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Reconciliation (Day 2–5): All balance sheet accounts reconciled and reviewed</w:t>
      </w:r>
    </w:p>
    <w:p>
      <w:pPr>
        <w:spacing w:after="80"/>
        <w:ind w:left="720"/>
      </w:pPr>
      <w:r>
        <w:rPr>
          <w:rFonts w:ascii="Calibri" w:cs="Calibri" w:eastAsia="Calibri" w:hAnsi="Calibri"/>
          <w:b/>
          <w:bCs/>
          <w:color w:val="D4AF37"/>
          <w:sz w:val="22"/>
          <w:szCs w:val="22"/>
        </w:rPr>
        <w:t xml:space="preserve">5.  </w:t>
      </w:r>
      <w:r>
        <w:rPr>
          <w:rFonts w:ascii="Calibri" w:cs="Calibri" w:eastAsia="Calibri" w:hAnsi="Calibri"/>
          <w:color w:val="333333"/>
          <w:sz w:val="22"/>
          <w:szCs w:val="22"/>
        </w:rPr>
        <w:t xml:space="preserve">Analytical Review (Day 5–7): Flux analysis, ratio analysis, management review</w:t>
      </w:r>
    </w:p>
    <w:p>
      <w:pPr>
        <w:spacing w:after="80"/>
        <w:ind w:left="720"/>
      </w:pPr>
      <w:r>
        <w:rPr>
          <w:rFonts w:ascii="Calibri" w:cs="Calibri" w:eastAsia="Calibri" w:hAnsi="Calibri"/>
          <w:b/>
          <w:bCs/>
          <w:color w:val="D4AF37"/>
          <w:sz w:val="22"/>
          <w:szCs w:val="22"/>
        </w:rPr>
        <w:t xml:space="preserve">6.  </w:t>
      </w:r>
      <w:r>
        <w:rPr>
          <w:rFonts w:ascii="Calibri" w:cs="Calibri" w:eastAsia="Calibri" w:hAnsi="Calibri"/>
          <w:color w:val="333333"/>
          <w:sz w:val="22"/>
          <w:szCs w:val="22"/>
        </w:rPr>
        <w:t xml:space="preserve">Reporting (Day 6–8): Financial statement preparation, management package distribution</w:t>
      </w:r>
    </w:p>
    <w:p>
      <w:pPr>
        <w:spacing w:after="80"/>
        <w:ind w:left="720"/>
      </w:pPr>
      <w:r>
        <w:rPr>
          <w:rFonts w:ascii="Calibri" w:cs="Calibri" w:eastAsia="Calibri" w:hAnsi="Calibri"/>
          <w:b/>
          <w:bCs/>
          <w:color w:val="D4AF37"/>
          <w:sz w:val="22"/>
          <w:szCs w:val="22"/>
        </w:rPr>
        <w:t xml:space="preserve">7.  </w:t>
      </w:r>
      <w:r>
        <w:rPr>
          <w:rFonts w:ascii="Calibri" w:cs="Calibri" w:eastAsia="Calibri" w:hAnsi="Calibri"/>
          <w:color w:val="333333"/>
          <w:sz w:val="22"/>
          <w:szCs w:val="22"/>
        </w:rPr>
        <w:t xml:space="preserve">Sign-Off (Day 7–8): Controller and CFO review and approval</w:t>
      </w:r>
    </w:p>
    <w:p>
      <w:pPr>
        <w:pBdr>
          <w:left w:val="single" w:color="D4AF37" w:sz="8"/>
        </w:pBdr>
        <w:spacing w:after="200" w:before="100"/>
        <w:ind w:left="360"/>
      </w:pPr>
      <w:r>
        <w:rPr>
          <w:rFonts w:ascii="Calibri" w:cs="Calibri" w:eastAsia="Calibri" w:hAnsi="Calibri"/>
          <w:b/>
          <w:bCs/>
          <w:color w:val="D4AF37"/>
          <w:sz w:val="20"/>
          <w:szCs w:val="20"/>
        </w:rPr>
        <w:t xml:space="preserve">Note: </w:t>
      </w:r>
      <w:r>
        <w:rPr>
          <w:rFonts w:ascii="Calibri" w:cs="Calibri" w:eastAsia="Calibri" w:hAnsi="Calibri"/>
          <w:i/>
          <w:iCs/>
          <w:color w:val="666666"/>
          <w:sz w:val="20"/>
          <w:szCs w:val="20"/>
        </w:rPr>
        <w:t xml:space="preserve">The interactive Monthly Close Checklist &amp; RACI Manager tool is available at efuturescfo.com for detailed task-level tracking.</w:t>
      </w:r>
    </w:p>
    <w:p>
      <w:pPr>
        <w:pStyle w:val="Heading2"/>
        <w:spacing w:after="150" w:before="300"/>
      </w:pPr>
      <w:r>
        <w:rPr>
          <w:rFonts w:ascii="Georgia" w:cs="Georgia" w:eastAsia="Georgia" w:hAnsi="Georgia"/>
          <w:b/>
          <w:bCs/>
          <w:color w:val="333333"/>
          <w:sz w:val="26"/>
          <w:szCs w:val="26"/>
        </w:rPr>
        <w:t xml:space="preserve">Appendix B — Reconciliation Standards</w:t>
      </w:r>
    </w:p>
    <w:p>
      <w:pPr>
        <w:spacing w:after="150" w:before="0"/>
        <w:jc w:val="both"/>
      </w:pPr>
      <w:r>
        <w:rPr>
          <w:rFonts w:ascii="Calibri" w:cs="Calibri" w:eastAsia="Calibri" w:hAnsi="Calibri"/>
          <w:color w:val="333333"/>
          <w:sz w:val="22"/>
          <w:szCs w:val="22"/>
        </w:rPr>
        <w:t xml:space="preserve">Every balance sheet reconciliation shall contain the following elements: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Account name and number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GL balance as of period end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Supporting balance (sub-ledger, bank statement, third-party confirmation)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Itemized reconciling items with age, description, and expected resolution date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Preparer name, date, and signature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Reviewer name, date, and signature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Notation of any items requiring follow-up or escalation</w:t>
      </w:r>
    </w:p>
    <w:p>
      <w:pPr>
        <w:pStyle w:val="Heading2"/>
        <w:spacing w:after="150" w:before="300"/>
      </w:pPr>
      <w:r>
        <w:rPr>
          <w:rFonts w:ascii="Georgia" w:cs="Georgia" w:eastAsia="Georgia" w:hAnsi="Georgia"/>
          <w:b/>
          <w:bCs/>
          <w:color w:val="333333"/>
          <w:sz w:val="26"/>
          <w:szCs w:val="26"/>
        </w:rPr>
        <w:t xml:space="preserve">Appendix C — Close Calendar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Day</w:t>
            </w:r>
          </w:p>
        </w:tc>
        <w:tc>
          <w:tcPr>
            <w:tcW w:type="dxa" w:w="2400"/>
            <w:shd w:fill="0C0C0C" w:val="clear"/>
          </w:tcPr>
          <w:p>
            <w:pPr>
              <w:spacing w:after="60" w:before="60"/>
            </w:pPr>
            <w:r>
              <w:rPr>
                <w:rFonts w:ascii="Calibri" w:cs="Calibri" w:eastAsia="Calibri" w:hAnsi="Calibri"/>
                <w:b/>
                <w:bCs/>
                <w:color w:val="D4AF37"/>
                <w:sz w:val="20"/>
                <w:szCs w:val="20"/>
              </w:rPr>
              <w:t xml:space="preserve">Task Category</w:t>
            </w:r>
          </w:p>
        </w:tc>
        <w:tc>
          <w:tcPr>
            <w:tcW w:type="dxa" w:w="4560"/>
            <w:shd w:fill="0C0C0C" w:val="clear"/>
          </w:tcPr>
          <w:p>
            <w:pPr>
              <w:spacing w:after="60" w:before="60"/>
            </w:pPr>
            <w:r>
              <w:rPr>
                <w:rFonts w:ascii="Calibri" w:cs="Calibri" w:eastAsia="Calibri" w:hAnsi="Calibri"/>
                <w:b/>
                <w:bCs/>
                <w:color w:val="D4AF37"/>
                <w:sz w:val="20"/>
                <w:szCs w:val="20"/>
              </w:rPr>
              <w:t xml:space="preserve">Responsible</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Day -3</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Distribute close calendar</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Day 0</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Period-end cutoff</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All</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Day 1–2</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Sub-ledger close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Staff Accountants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Day 2–3</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Intercompany reconciliation</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Senior Accountants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Day 3–4</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Journal entries and accruals</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Day 3–5</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Reconciliations</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Staff/Senior Accountants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Day 4–5</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Consolidation</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Day 5–6</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Analytical review</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FP&amp;A</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Day 6–7</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Financial statement prep</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Day 7–8</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Management review and sign-off</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CFO</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11. Continuous Accounting Framework</w:t>
      </w:r>
    </w:p>
    <w:p>
      <w:pPr>
        <w:spacing w:after="150" w:before="0"/>
        <w:jc w:val="both"/>
      </w:pPr>
      <w:r>
        <w:rPr>
          <w:rFonts w:ascii="Calibri" w:cs="Calibri" w:eastAsia="Calibri" w:hAnsi="Calibri"/>
          <w:color w:val="333333"/>
          <w:sz w:val="22"/>
          <w:szCs w:val="22"/>
        </w:rPr>
        <w:t xml:space="preserve">[Company Name] shall progressively shift close activities from period-end concentration to continuous processing throughout the month. The continuous accounting framework reduces period-end workload, improves data quality through real-time processing, and enables faster close cycles.</w:t>
      </w:r>
    </w:p>
    <w:p>
      <w:pPr>
        <w:pStyle w:val="Heading2"/>
        <w:spacing w:after="150" w:before="300"/>
      </w:pPr>
      <w:r>
        <w:rPr>
          <w:rFonts w:ascii="Georgia" w:cs="Georgia" w:eastAsia="Georgia" w:hAnsi="Georgia"/>
          <w:b/>
          <w:bCs/>
          <w:color w:val="333333"/>
          <w:sz w:val="26"/>
          <w:szCs w:val="26"/>
        </w:rPr>
        <w:t xml:space="preserve">11.1 Daily Activities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Bank reconciliation — automated daily matching with exception-only review</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Cash application — same-day posting of all receipts with automated matching rules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Intercompany transaction posting — real-time matching and confirmation between entities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Revenue recognition for standard transactions — automated posting per system rules</w:t>
      </w:r>
    </w:p>
    <w:p>
      <w:pPr>
        <w:pStyle w:val="Heading2"/>
        <w:spacing w:after="150" w:before="300"/>
      </w:pPr>
      <w:r>
        <w:rPr>
          <w:rFonts w:ascii="Georgia" w:cs="Georgia" w:eastAsia="Georgia" w:hAnsi="Georgia"/>
          <w:b/>
          <w:bCs/>
          <w:color w:val="333333"/>
          <w:sz w:val="26"/>
          <w:szCs w:val="26"/>
        </w:rPr>
        <w:t xml:space="preserve">11.2 Weekly Activities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AP invoice processing review — clear all invoices in the approval queue weekly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Expense report processing — approve and post weekly to avoid month-end backlog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Fixed asset additions — record and begin depreciation within the week of capitalization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Preliminary flux analysis — review key accounts weekly to identify emerging variances early</w:t>
      </w:r>
    </w:p>
    <w:p>
      <w:pPr>
        <w:pStyle w:val="Heading2"/>
        <w:spacing w:after="150" w:before="300"/>
      </w:pPr>
      <w:r>
        <w:rPr>
          <w:rFonts w:ascii="Georgia" w:cs="Georgia" w:eastAsia="Georgia" w:hAnsi="Georgia"/>
          <w:b/>
          <w:bCs/>
          <w:color w:val="333333"/>
          <w:sz w:val="26"/>
          <w:szCs w:val="26"/>
        </w:rPr>
        <w:t xml:space="preserve">11.3 Mid-Month Activities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Preliminary accrual review — estimate and pre-record significant accruals at mid-month</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Intercompany reconciliation — confirm balances at mid-month to resolve discrepancies before close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Inventory valuation review — assess reserves and cost variances at mid-month for manufacturing entities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Tax provision estimate — update the quarterly ETR estimate at mid-quarter</w:t>
      </w:r>
    </w:p>
    <w:p>
      <w:pPr>
        <w:spacing w:after="150" w:before="0"/>
        <w:jc w:val="both"/>
      </w:pPr>
      <w:r>
        <w:rPr>
          <w:rFonts w:ascii="Calibri" w:cs="Calibri" w:eastAsia="Calibri" w:hAnsi="Calibri"/>
          <w:color w:val="333333"/>
          <w:sz w:val="22"/>
          <w:szCs w:val="22"/>
        </w:rPr>
        <w:t xml:space="preserve">The Controller shall track the percentage of close tasks completed through continuous processing versus period-end batch processing. The target is to shift [70%] of close tasks to continuous processing within [18 months].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12. Financial Reporting Package Standards</w:t>
      </w:r>
    </w:p>
    <w:p>
      <w:pPr>
        <w:pStyle w:val="Heading2"/>
        <w:spacing w:after="150" w:before="300"/>
      </w:pPr>
      <w:r>
        <w:rPr>
          <w:rFonts w:ascii="Georgia" w:cs="Georgia" w:eastAsia="Georgia" w:hAnsi="Georgia"/>
          <w:b/>
          <w:bCs/>
          <w:color w:val="333333"/>
          <w:sz w:val="26"/>
          <w:szCs w:val="26"/>
        </w:rPr>
        <w:t xml:space="preserve">12.1 Internal Management Package</w:t>
      </w:r>
    </w:p>
    <w:p>
      <w:pPr>
        <w:spacing w:after="150" w:before="0"/>
        <w:jc w:val="both"/>
      </w:pPr>
      <w:r>
        <w:rPr>
          <w:rFonts w:ascii="Calibri" w:cs="Calibri" w:eastAsia="Calibri" w:hAnsi="Calibri"/>
          <w:color w:val="333333"/>
          <w:sz w:val="22"/>
          <w:szCs w:val="22"/>
        </w:rPr>
        <w:t xml:space="preserve">The monthly management reporting package shall be distributed to the executive team within [X] business days of month-end and shall include the following components:</w:t>
      </w:r>
    </w:p>
    <w:p>
      <w:pPr>
        <w:pStyle w:val="Heading3"/>
        <w:spacing w:after="100" w:before="200"/>
      </w:pPr>
      <w:r>
        <w:rPr>
          <w:rFonts w:ascii="Georgia" w:cs="Georgia" w:eastAsia="Georgia" w:hAnsi="Georgia"/>
          <w:b/>
          <w:bCs/>
          <w:color w:val="444444"/>
          <w:sz w:val="22"/>
          <w:szCs w:val="22"/>
        </w:rPr>
        <w:t xml:space="preserve">12.1.1 Executive Summary</w:t>
      </w:r>
    </w:p>
    <w:p>
      <w:pPr>
        <w:spacing w:after="150" w:before="0"/>
        <w:jc w:val="both"/>
      </w:pPr>
      <w:r>
        <w:rPr>
          <w:rFonts w:ascii="Calibri" w:cs="Calibri" w:eastAsia="Calibri" w:hAnsi="Calibri"/>
          <w:color w:val="333333"/>
          <w:sz w:val="22"/>
          <w:szCs w:val="22"/>
        </w:rPr>
        <w:t xml:space="preserve">A one-page executive summary highlighting: revenue performance vs. plan, EBITDA and margin trends, cash position and forecast, key operational metrics, and items requiring management attention. The summary shall be written by the Controller with CFO review.</w:t>
      </w:r>
    </w:p>
    <w:p>
      <w:pPr>
        <w:pStyle w:val="Heading3"/>
        <w:spacing w:after="100" w:before="200"/>
      </w:pPr>
      <w:r>
        <w:rPr>
          <w:rFonts w:ascii="Georgia" w:cs="Georgia" w:eastAsia="Georgia" w:hAnsi="Georgia"/>
          <w:b/>
          <w:bCs/>
          <w:color w:val="444444"/>
          <w:sz w:val="22"/>
          <w:szCs w:val="22"/>
        </w:rPr>
        <w:t xml:space="preserve">12.1.2 Financial Statements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Consolidated income statement — current month, YTD, and full-year comparison with budget, forecast, and prior year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Consolidated balance sheet — current month with prior month and prior year comparison, with commentary on significant changes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Consolidated cash flow statement — current month and YTD with budget comparison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Segment or business unit P&amp;L — for each reportable segment or business unit</w:t>
      </w:r>
    </w:p>
    <w:p>
      <w:pPr>
        <w:pStyle w:val="Heading3"/>
        <w:spacing w:after="100" w:before="200"/>
      </w:pPr>
      <w:r>
        <w:rPr>
          <w:rFonts w:ascii="Georgia" w:cs="Georgia" w:eastAsia="Georgia" w:hAnsi="Georgia"/>
          <w:b/>
          <w:bCs/>
          <w:color w:val="444444"/>
          <w:sz w:val="22"/>
          <w:szCs w:val="22"/>
        </w:rPr>
        <w:t xml:space="preserve">12.1.3 Variance Analysis</w:t>
      </w:r>
    </w:p>
    <w:p>
      <w:pPr>
        <w:spacing w:after="150" w:before="0"/>
        <w:jc w:val="both"/>
      </w:pPr>
      <w:r>
        <w:rPr>
          <w:rFonts w:ascii="Calibri" w:cs="Calibri" w:eastAsia="Calibri" w:hAnsi="Calibri"/>
          <w:color w:val="333333"/>
          <w:sz w:val="22"/>
          <w:szCs w:val="22"/>
        </w:rPr>
        <w:t xml:space="preserve">All variances exceeding [threshold] between actual and budget/forecast shall be documented with root cause explanation, whether the variance is timing or permanent, and expected impact on full-year results. The variance analysis shall distinguish between volume, price/rate, and mix effects where applicable.</w:t>
      </w:r>
    </w:p>
    <w:p>
      <w:pPr>
        <w:pStyle w:val="Heading3"/>
        <w:spacing w:after="100" w:before="200"/>
      </w:pPr>
      <w:r>
        <w:rPr>
          <w:rFonts w:ascii="Georgia" w:cs="Georgia" w:eastAsia="Georgia" w:hAnsi="Georgia"/>
          <w:b/>
          <w:bCs/>
          <w:color w:val="444444"/>
          <w:sz w:val="22"/>
          <w:szCs w:val="22"/>
        </w:rPr>
        <w:t xml:space="preserve">12.1.4 Key Performance Indicators</w:t>
      </w:r>
    </w:p>
    <w:p>
      <w:pPr>
        <w:spacing w:after="150" w:before="0"/>
        <w:jc w:val="both"/>
      </w:pPr>
      <w:r>
        <w:rPr>
          <w:rFonts w:ascii="Calibri" w:cs="Calibri" w:eastAsia="Calibri" w:hAnsi="Calibri"/>
          <w:color w:val="333333"/>
          <w:sz w:val="22"/>
          <w:szCs w:val="22"/>
        </w:rPr>
        <w:t xml:space="preserve">The management package shall include a KPI dashboard with traffic-light status indicators. Minimum KPIs include: revenue growth rate, gross margin, EBITDA margin, DSO, DPO, DIO, cash conversion cycle, headcount vs. plan, and customer-specific metrics relevant to the business.</w:t>
      </w:r>
    </w:p>
    <w:p>
      <w:pPr>
        <w:pStyle w:val="Heading3"/>
        <w:spacing w:after="100" w:before="200"/>
      </w:pPr>
      <w:r>
        <w:rPr>
          <w:rFonts w:ascii="Georgia" w:cs="Georgia" w:eastAsia="Georgia" w:hAnsi="Georgia"/>
          <w:b/>
          <w:bCs/>
          <w:color w:val="444444"/>
          <w:sz w:val="22"/>
          <w:szCs w:val="22"/>
        </w:rPr>
        <w:t xml:space="preserve">12.1.5 Cash and Liquidity</w:t>
      </w:r>
    </w:p>
    <w:p>
      <w:pPr>
        <w:spacing w:after="150" w:before="0"/>
        <w:jc w:val="both"/>
      </w:pPr>
      <w:r>
        <w:rPr>
          <w:rFonts w:ascii="Calibri" w:cs="Calibri" w:eastAsia="Calibri" w:hAnsi="Calibri"/>
          <w:color w:val="333333"/>
          <w:sz w:val="22"/>
          <w:szCs w:val="22"/>
        </w:rPr>
        <w:t xml:space="preserve">Current cash position across all accounts, 13-week cash flow forecast (updated weekly), revolver availability and utilization, covenant compliance ratios with headroom analysis, and upcoming significant cash events (debt service, tax payments, capital expenditures).</w:t>
      </w:r>
    </w:p>
    <w:p>
      <w:pPr>
        <w:pStyle w:val="Heading2"/>
        <w:spacing w:after="150" w:before="300"/>
      </w:pPr>
      <w:r>
        <w:rPr>
          <w:rFonts w:ascii="Georgia" w:cs="Georgia" w:eastAsia="Georgia" w:hAnsi="Georgia"/>
          <w:b/>
          <w:bCs/>
          <w:color w:val="333333"/>
          <w:sz w:val="26"/>
          <w:szCs w:val="26"/>
        </w:rPr>
        <w:t xml:space="preserve">12.2 Board Reporting Package</w:t>
      </w:r>
    </w:p>
    <w:p>
      <w:pPr>
        <w:spacing w:after="150" w:before="0"/>
        <w:jc w:val="both"/>
      </w:pPr>
      <w:r>
        <w:rPr>
          <w:rFonts w:ascii="Calibri" w:cs="Calibri" w:eastAsia="Calibri" w:hAnsi="Calibri"/>
          <w:color w:val="333333"/>
          <w:sz w:val="22"/>
          <w:szCs w:val="22"/>
        </w:rPr>
        <w:t xml:space="preserve">The quarterly board reporting package shall include all elements of the management package plus: strategic initiative updates, competitive landscape analysis, risk register updates, and forward-looking guidance or forecast. The board package is subject to CFO review and approval before distribution. Board materials shall be distributed at least [5] business days before the board meeting.</w:t>
      </w:r>
    </w:p>
    <w:p>
      <w:pPr>
        <w:pStyle w:val="Heading2"/>
        <w:spacing w:after="150" w:before="300"/>
      </w:pPr>
      <w:r>
        <w:rPr>
          <w:rFonts w:ascii="Georgia" w:cs="Georgia" w:eastAsia="Georgia" w:hAnsi="Georgia"/>
          <w:b/>
          <w:bCs/>
          <w:color w:val="333333"/>
          <w:sz w:val="26"/>
          <w:szCs w:val="26"/>
        </w:rPr>
        <w:t xml:space="preserve">12.3 External Reporting</w:t>
      </w:r>
    </w:p>
    <w:p>
      <w:pPr>
        <w:spacing w:after="150" w:before="0"/>
        <w:jc w:val="both"/>
      </w:pPr>
      <w:r>
        <w:rPr>
          <w:rFonts w:ascii="Calibri" w:cs="Calibri" w:eastAsia="Calibri" w:hAnsi="Calibri"/>
          <w:color w:val="333333"/>
          <w:sz w:val="22"/>
          <w:szCs w:val="22"/>
        </w:rPr>
        <w:t xml:space="preserve">External financial reporting (10-Q, 10-K, earnings releases) shall follow the SEC Filing and Financial Communications policies. All external reports shall be derived from the same general ledger data used for internal reporting, with a documented reconciliation between internal management metrics and GAAP-reported figures.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13. Close Process Improvement</w:t>
      </w:r>
    </w:p>
    <w:p>
      <w:pPr>
        <w:pStyle w:val="Heading2"/>
        <w:spacing w:after="150" w:before="300"/>
      </w:pPr>
      <w:r>
        <w:rPr>
          <w:rFonts w:ascii="Georgia" w:cs="Georgia" w:eastAsia="Georgia" w:hAnsi="Georgia"/>
          <w:b/>
          <w:bCs/>
          <w:color w:val="333333"/>
          <w:sz w:val="26"/>
          <w:szCs w:val="26"/>
        </w:rPr>
        <w:t xml:space="preserve">13.1 Close Retrospective</w:t>
      </w:r>
    </w:p>
    <w:p>
      <w:pPr>
        <w:spacing w:after="150" w:before="0"/>
        <w:jc w:val="both"/>
      </w:pPr>
      <w:r>
        <w:rPr>
          <w:rFonts w:ascii="Calibri" w:cs="Calibri" w:eastAsia="Calibri" w:hAnsi="Calibri"/>
          <w:color w:val="333333"/>
          <w:sz w:val="22"/>
          <w:szCs w:val="22"/>
        </w:rPr>
        <w:t xml:space="preserve">The Controller shall conduct a close retrospective within one week of each quarterly close and within two weeks of the annual close. The retrospective shall document: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Actual close timeline versus target, by task</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Tasks that caused delays and root causes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Reconciliation items that required extended investigation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Post-close adjustments and their causes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Process improvement opportunities identified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Technology or automation opportunities identified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Action items with owners and deadlines for the next close</w:t>
      </w:r>
    </w:p>
    <w:p>
      <w:pPr>
        <w:pStyle w:val="Heading2"/>
        <w:spacing w:after="150" w:before="300"/>
      </w:pPr>
      <w:r>
        <w:rPr>
          <w:rFonts w:ascii="Georgia" w:cs="Georgia" w:eastAsia="Georgia" w:hAnsi="Georgia"/>
          <w:b/>
          <w:bCs/>
          <w:color w:val="333333"/>
          <w:sz w:val="26"/>
          <w:szCs w:val="26"/>
        </w:rPr>
        <w:t xml:space="preserve">13.2 Benchmarking</w:t>
      </w:r>
    </w:p>
    <w:p>
      <w:pPr>
        <w:spacing w:after="150" w:before="0"/>
        <w:jc w:val="both"/>
      </w:pPr>
      <w:r>
        <w:rPr>
          <w:rFonts w:ascii="Calibri" w:cs="Calibri" w:eastAsia="Calibri" w:hAnsi="Calibri"/>
          <w:color w:val="333333"/>
          <w:sz w:val="22"/>
          <w:szCs w:val="22"/>
        </w:rPr>
        <w:t xml:space="preserve">[Company Name] shall benchmark its close process annually against industry peers using APQC, Hackett Group, or similar benchmarking data. Key benchmarks include: close cycle time (business days), cost per close, FTEs per close, and automation percentage. Benchmarking results shall be presented to the CFO with improvement recommendations.</w:t>
      </w:r>
    </w:p>
    <w:p>
      <w:pPr>
        <w:pStyle w:val="Heading2"/>
        <w:spacing w:after="150" w:before="300"/>
      </w:pPr>
      <w:r>
        <w:rPr>
          <w:rFonts w:ascii="Georgia" w:cs="Georgia" w:eastAsia="Georgia" w:hAnsi="Georgia"/>
          <w:b/>
          <w:bCs/>
          <w:color w:val="333333"/>
          <w:sz w:val="26"/>
          <w:szCs w:val="26"/>
        </w:rPr>
        <w:t xml:space="preserve">13.3 Technology Roadmap</w:t>
      </w:r>
    </w:p>
    <w:p>
      <w:pPr>
        <w:spacing w:after="150" w:before="0"/>
        <w:jc w:val="both"/>
      </w:pPr>
      <w:r>
        <w:rPr>
          <w:rFonts w:ascii="Calibri" w:cs="Calibri" w:eastAsia="Calibri" w:hAnsi="Calibri"/>
          <w:color w:val="333333"/>
          <w:sz w:val="22"/>
          <w:szCs w:val="22"/>
        </w:rPr>
        <w:t xml:space="preserve">The Controller shall maintain a technology roadmap for close process improvement, including: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Close management platform implementation or optimization (BlackLine, FloQast, Trintech)</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Automated reconciliation tools and matching rules expansion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Robotic process automation for high-volume, rule-based close tasks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AI-assisted anomaly detection for journal entry review and flux analysis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Real-time consolidation and reporting capabilities</w:t>
      </w:r>
    </w:p>
    <w:p>
      <w:pPr>
        <w:spacing w:after="150" w:before="0"/>
        <w:jc w:val="both"/>
      </w:pPr>
      <w:r>
        <w:rPr>
          <w:rFonts w:ascii="Calibri" w:cs="Calibri" w:eastAsia="Calibri" w:hAnsi="Calibri"/>
          <w:color w:val="333333"/>
          <w:sz w:val="22"/>
          <w:szCs w:val="22"/>
        </w:rPr>
        <w:t xml:space="preserve">The technology roadmap shall be reviewed quarterly and aligned with the IT budget planning cycle.</w:t>
      </w:r>
    </w:p>
    <w:p>
      <w:pPr>
        <w:pStyle w:val="Heading2"/>
        <w:spacing w:after="150" w:before="300"/>
      </w:pPr>
      <w:r>
        <w:rPr>
          <w:rFonts w:ascii="Georgia" w:cs="Georgia" w:eastAsia="Georgia" w:hAnsi="Georgia"/>
          <w:b/>
          <w:bCs/>
          <w:color w:val="333333"/>
          <w:sz w:val="26"/>
          <w:szCs w:val="26"/>
        </w:rPr>
        <w:t xml:space="preserve">13.4 Training and Development</w:t>
      </w:r>
    </w:p>
    <w:p>
      <w:pPr>
        <w:spacing w:after="150" w:before="0"/>
        <w:jc w:val="both"/>
      </w:pPr>
      <w:r>
        <w:rPr>
          <w:rFonts w:ascii="Calibri" w:cs="Calibri" w:eastAsia="Calibri" w:hAnsi="Calibri"/>
          <w:color w:val="333333"/>
          <w:sz w:val="22"/>
          <w:szCs w:val="22"/>
        </w:rPr>
        <w:t xml:space="preserve">All accounting staff involved in the close process shall receive annual training on: close procedures and timeline expectations, reconciliation standards, journal entry requirements, new accounting standards affecting the close, and close management system usage. New hires shall complete close process orientation within their first [30] days.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Version</w:t>
            </w:r>
          </w:p>
        </w:tc>
        <w:tc>
          <w:tcPr>
            <w:tcW w:type="dxa" w:w="2400"/>
            <w:shd w:fill="0C0C0C" w:val="clear"/>
          </w:tcPr>
          <w:p>
            <w:pPr>
              <w:spacing w:after="60" w:before="60"/>
            </w:pPr>
            <w:r>
              <w:rPr>
                <w:rFonts w:ascii="Calibri" w:cs="Calibri" w:eastAsia="Calibri" w:hAnsi="Calibri"/>
                <w:b/>
                <w:bCs/>
                <w:color w:val="D4AF37"/>
                <w:sz w:val="20"/>
                <w:szCs w:val="20"/>
              </w:rPr>
              <w:t xml:space="preserve">Date</w:t>
            </w:r>
          </w:p>
        </w:tc>
        <w:tc>
          <w:tcPr>
            <w:tcW w:type="dxa" w:w="45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[Effective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Initial policy document</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bl>
    <w:p>
      <w:pPr>
        <w:spacing w:after="150" w:before="0"/>
        <w:jc w:val="both"/>
      </w:pPr>
      <w:r>
        <w:rPr>
          <w:rFonts w:ascii="Calibri" w:cs="Calibri" w:eastAsia="Calibri" w:hAnsi="Calibri"/>
          <w:color w:val="333333"/>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Name / Signature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Prepared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Reviewed By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 Name], Chief Financial Officer</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2A2A" w:sz="2"/>
      </w:pBdr>
      <w:spacing w:before="100"/>
      <w:jc w:val="center"/>
    </w:pPr>
    <w:r>
      <w:rPr>
        <w:rFonts w:ascii="Calibri" w:cs="Calibri" w:eastAsia="Calibri" w:hAnsi="Calibri"/>
        <w:color w:val="9CA3AF"/>
        <w:sz w:val="16"/>
        <w:szCs w:val="16"/>
      </w:rPr>
      <w:t xml:space="preserve">Confidential — [Company Name]  |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of </w:t>
    </w:r>
    <w:r>
      <w:rPr>
        <w:rFonts w:ascii="Calibri" w:cs="Calibri" w:eastAsia="Calibri" w:hAnsi="Calibri"/>
        <w:color w:val="9CA3AF"/>
        <w:sz w:val="16"/>
        <w:szCs w:val="16"/>
      </w:rPr>
      <w:fldChar w:fldCharType="begin"/>
      <w:instrText xml:space="preserve">NUMPAGES</w:instrText>
      <w:fldChar w:fldCharType="separate"/>
      <w:fldChar w:fldCharType="end"/>
    </w:r>
    <w:r>
      <w:rPr>
        <w:rFonts w:ascii="Calibri" w:cs="Calibri" w:eastAsia="Calibri" w:hAnsi="Calibri"/>
        <w:color w:val="D4AF37"/>
        <w:sz w:val="16"/>
        <w:szCs w:val="16"/>
      </w:rPr>
      <w:t xml:space="preserve">  |  EFuturesCFO.com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CA3AF"/>
        <w:sz w:val="16"/>
        <w:szCs w:val="16"/>
      </w:rPr>
      <w:t xml:space="preserve">[Company Name]</w:t>
    </w:r>
    <w:r>
      <w:rPr>
        <w:rFonts w:ascii="Calibri" w:cs="Calibri" w:eastAsia="Calibri" w:hAnsi="Calibri"/>
        <w:color w:val="9CA3AF"/>
        <w:sz w:val="16"/>
        <w:szCs w:val="16"/>
      </w:rPr>
      <w:t xml:space="preserve">  |  </w:t>
    </w:r>
    <w:r>
      <w:rPr>
        <w:rFonts w:ascii="Calibri" w:cs="Calibri" w:eastAsia="Calibri" w:hAnsi="Calibri"/>
        <w:i/>
        <w:iCs/>
        <w:color w:val="9CA3AF"/>
        <w:sz w:val="16"/>
        <w:szCs w:val="16"/>
      </w:rPr>
      <w:t xml:space="preserve">Financial Close &amp; Reporting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Georgia" w:cs="Georgia" w:eastAsia="Georgia" w:hAnsi="Georgia"/>
      <w:b/>
      <w:bCs/>
      <w:color w:val="0C0C0C"/>
      <w:sz w:val="32"/>
      <w:szCs w:val="32"/>
    </w:rPr>
  </w:style>
  <w:style w:type="paragraph" w:styleId="Heading2">
    <w:name w:val="Heading 2"/>
    <w:basedOn w:val="Normal"/>
    <w:next w:val="Normal"/>
    <w:qFormat/>
    <w:rPr>
      <w:rFonts w:ascii="Georgia" w:cs="Georgia" w:eastAsia="Georgia" w:hAnsi="Georgia"/>
      <w:b/>
      <w:bCs/>
      <w:color w:val="333333"/>
      <w:sz w:val="26"/>
      <w:szCs w:val="26"/>
    </w:rPr>
  </w:style>
  <w:style w:type="paragraph" w:styleId="Heading3">
    <w:name w:val="Heading 3"/>
    <w:basedOn w:val="Normal"/>
    <w:next w:val="Normal"/>
    <w:qFormat/>
    <w:rPr>
      <w:rFonts w:ascii="Georgia" w:cs="Georgia" w:eastAsia="Georgia" w:hAnsi="Georgia"/>
      <w:b/>
      <w:bCs/>
      <w:color w:val="444444"/>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2026-07-13T05:00:45.459Z</dcterms:created>
  <dcterms:modified xsi:type="dcterms:W3CDTF">2026-07-13T05:00:45.459Z</dcterms:modified>
</cp:coreProperties>
</file>

<file path=docProps/custom.xml><?xml version="1.0" encoding="utf-8"?>
<Properties xmlns="http://schemas.openxmlformats.org/officeDocument/2006/custom-properties" xmlns:vt="http://schemas.openxmlformats.org/officeDocument/2006/docPropsVTypes"/>
</file>