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0"/>
      </w:pPr>
    </w:p>
    <w:p>
      <w:pPr>
        <w:spacing w:after="200"/>
        <w:jc w:val="center"/>
      </w:pPr>
      <w:r>
        <w:rPr>
          <w:rFonts w:ascii="Georgia" w:cs="Georgia" w:eastAsia="Georgia" w:hAnsi="Georgia"/>
          <w:b/>
          <w:bCs/>
          <w:color w:val="D4AF37"/>
          <w:sz w:val="56"/>
          <w:szCs w:val="56"/>
        </w:rPr>
        <w:t xml:space="preserve">EFuturesCFO</w:t>
      </w:r>
    </w:p>
    <w:p>
      <w:pPr>
        <w:spacing w:after="100"/>
        <w:jc w:val="center"/>
      </w:pPr>
      <w:r>
        <w:rPr>
          <w:rFonts w:ascii="Calibri" w:cs="Calibri" w:eastAsia="Calibri" w:hAnsi="Calibri"/>
          <w:color w:val="9CA3AF"/>
          <w:sz w:val="24"/>
          <w:szCs w:val="24"/>
        </w:rPr>
        <w:t xml:space="preserve">Executive Decision Tools</w:t>
      </w:r>
    </w:p>
    <w:p>
      <w:pPr>
        <w:pBdr>
          <w:bottom w:val="single" w:color="D4AF37" w:sz="6"/>
        </w:pBdr>
        <w:spacing w:after="600"/>
        <w:jc w:val="center"/>
      </w:pPr>
      <w:r>
        <w:rPr>
          <w:sz w:val="12"/>
          <w:szCs w:val="12"/>
        </w:rPr>
        <w:t xml:space="preserve"> </w:t>
      </w:r>
    </w:p>
    <w:p>
      <w:pPr>
        <w:spacing w:after="400"/>
      </w:pPr>
    </w:p>
    <w:p>
      <w:pPr>
        <w:spacing w:after="200"/>
        <w:jc w:val="center"/>
      </w:pPr>
      <w:r>
        <w:rPr>
          <w:rFonts w:ascii="Georgia" w:cs="Georgia" w:eastAsia="Georgia" w:hAnsi="Georgia"/>
          <w:b/>
          <w:bCs/>
          <w:color w:val="0C0C0C"/>
          <w:sz w:val="48"/>
          <w:szCs w:val="48"/>
        </w:rPr>
        <w:t xml:space="preserve">Revenue Recognition Policy</w:t>
      </w:r>
    </w:p>
    <w:p>
      <w:pPr>
        <w:spacing w:after="200"/>
        <w:jc w:val="center"/>
      </w:pPr>
      <w:r>
        <w:rPr>
          <w:rFonts w:ascii="Calibri" w:cs="Calibri" w:eastAsia="Calibri" w:hAnsi="Calibri"/>
          <w:color w:val="666666"/>
          <w:sz w:val="28"/>
          <w:szCs w:val="28"/>
        </w:rPr>
        <w:t xml:space="preserve">Policy &amp; Procedures Manual</w:t>
      </w:r>
    </w:p>
    <w:p>
      <w:pPr>
        <w:spacing w:after="2000"/>
      </w:pPr>
    </w:p>
    <w:p>
      <w:pPr>
        <w:spacing w:after="100"/>
        <w:jc w:val="center"/>
      </w:pPr>
      <w:r>
        <w:rPr>
          <w:rFonts w:ascii="Calibri" w:cs="Calibri" w:eastAsia="Calibri" w:hAnsi="Calibri"/>
          <w:b/>
          <w:bCs/>
          <w:color w:val="0C0C0C"/>
          <w:sz w:val="28"/>
          <w:szCs w:val="28"/>
        </w:rPr>
        <w:t xml:space="preserve">[Company Name]</w:t>
      </w:r>
    </w:p>
    <w:p>
      <w:pPr>
        <w:spacing w:after="100"/>
        <w:jc w:val="center"/>
      </w:pPr>
      <w:r>
        <w:rPr>
          <w:rFonts w:ascii="Calibri" w:cs="Calibri" w:eastAsia="Calibri" w:hAnsi="Calibri"/>
          <w:color w:val="9CA3AF"/>
          <w:sz w:val="22"/>
          <w:szCs w:val="22"/>
        </w:rPr>
        <w:t xml:space="preserve">Policy Document — Confidential</w:t>
      </w:r>
    </w:p>
    <w:p>
      <w:pPr>
        <w:spacing w:after="100"/>
        <w:jc w:val="center"/>
      </w:pPr>
      <w:r>
        <w:rPr>
          <w:rFonts w:ascii="Calibri" w:cs="Calibri" w:eastAsia="Calibri" w:hAnsi="Calibri"/>
          <w:color w:val="9CA3AF"/>
          <w:sz w:val="20"/>
          <w:szCs w:val="20"/>
        </w:rPr>
        <w:t xml:space="preserve">Effective Date: [Date]  |  Version: 1.0</w:t>
      </w:r>
    </w:p>
    <w:p>
      <w:pPr>
        <w:spacing w:after="100"/>
        <w:jc w:val="center"/>
      </w:pPr>
      <w:r>
        <w:rPr>
          <w:rFonts w:ascii="Calibri" w:cs="Calibri" w:eastAsia="Calibri" w:hAnsi="Calibri"/>
          <w:color w:val="9CA3AF"/>
          <w:sz w:val="20"/>
          <w:szCs w:val="20"/>
        </w:rPr>
        <w:t xml:space="preserve">Owner: [Policy Owner Title]  |  Approved by: [CFO Name]</w:t>
      </w:r>
    </w:p>
    <w:p>
      <w:r>
        <w:br w:type="page"/>
      </w:r>
    </w:p>
    <w:p>
      <w:pPr>
        <w:pStyle w:val="Heading1"/>
        <w:spacing w:after="300"/>
      </w:pPr>
      <w:r>
        <w:rPr>
          <w:rFonts w:ascii="Georgia" w:cs="Georgia" w:eastAsia="Georgia" w:hAnsi="Georgia"/>
          <w:b/>
          <w:bCs/>
          <w:color w:val="0C0C0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 Purpose &amp; Scope</w:t>
      </w:r>
    </w:p>
    <w:p>
      <w:pPr>
        <w:spacing w:after="150" w:before="0"/>
        <w:jc w:val="both"/>
      </w:pPr>
      <w:r>
        <w:rPr>
          <w:rFonts w:ascii="Calibri" w:cs="Calibri" w:eastAsia="Calibri" w:hAnsi="Calibri"/>
          <w:color w:val="333333"/>
          <w:sz w:val="22"/>
          <w:szCs w:val="22"/>
        </w:rPr>
        <w:t xml:space="preserve">This Revenue Recognition Policy establishes the principles, standards, and procedures governing how [Company Name] recognizes, measures, and reports revenue from contracts with customers. The policy ensures compliance with Accounting Standards Codification Topic 606 (ASC 606), Revenue from Contracts with Customers, and provides a consistent framework for all revenue-generating transactions across the organization.</w:t>
      </w:r>
    </w:p>
    <w:p>
      <w:pPr>
        <w:spacing w:after="150" w:before="0"/>
        <w:jc w:val="both"/>
      </w:pPr>
      <w:r>
        <w:rPr>
          <w:rFonts w:ascii="Calibri" w:cs="Calibri" w:eastAsia="Calibri" w:hAnsi="Calibri"/>
          <w:color w:val="333333"/>
          <w:sz w:val="22"/>
          <w:szCs w:val="22"/>
        </w:rPr>
        <w:t xml:space="preserve">This policy applies to all revenue streams, business units, subsidiaries, and geographic locations of [Company Name]. It governs all contracts with customers, including but not limited to product sales, service agreements, subscription arrangements, licensing deals, construction contracts, and any other arrangement that transfers goods or services to customers in exchange for consideration.</w:t>
      </w:r>
    </w:p>
    <w:p>
      <w:pPr>
        <w:pStyle w:val="Heading2"/>
        <w:spacing w:after="150" w:before="300"/>
      </w:pPr>
      <w:r>
        <w:rPr>
          <w:rFonts w:ascii="Georgia" w:cs="Georgia" w:eastAsia="Georgia" w:hAnsi="Georgia"/>
          <w:b/>
          <w:bCs/>
          <w:color w:val="333333"/>
          <w:sz w:val="26"/>
          <w:szCs w:val="26"/>
        </w:rPr>
        <w:t xml:space="preserve">1.1 Objectives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Ensure revenue is recognized in conformity with US GAAP (ASC 606) across all business units and contract types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Provide clear guidance for applying the five-step revenue recognition model to new and existing arrangements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Establish controls over the revenue recognition process to prevent misstatement, whether intentional or inadvertent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Support accurate financial reporting, forecasting, and investor communication regarding revenue metrics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Maintain audit-ready documentation for all significant revenue recognition judgments and estimates</w:t>
      </w:r>
    </w:p>
    <w:p>
      <w:pPr>
        <w:pStyle w:val="Heading2"/>
        <w:spacing w:after="150" w:before="300"/>
      </w:pPr>
      <w:r>
        <w:rPr>
          <w:rFonts w:ascii="Georgia" w:cs="Georgia" w:eastAsia="Georgia" w:hAnsi="Georgia"/>
          <w:b/>
          <w:bCs/>
          <w:color w:val="333333"/>
          <w:sz w:val="26"/>
          <w:szCs w:val="26"/>
        </w:rPr>
        <w:t xml:space="preserve">1.2 Applicability</w:t>
      </w:r>
    </w:p>
    <w:p>
      <w:pPr>
        <w:spacing w:after="150" w:before="0"/>
        <w:jc w:val="both"/>
      </w:pPr>
      <w:r>
        <w:rPr>
          <w:rFonts w:ascii="Calibri" w:cs="Calibri" w:eastAsia="Calibri" w:hAnsi="Calibri"/>
          <w:color w:val="333333"/>
          <w:sz w:val="22"/>
          <w:szCs w:val="22"/>
        </w:rPr>
        <w:t xml:space="preserve">This policy applies to all employees involved in the revenue cycle, including but not limited to: sales, business development, legal, finance, accounting, billing, and executive management. All personnel who negotiate, approve, execute, or account for customer contracts must be familiar with and adhere to this policy.</w:t>
      </w:r>
    </w:p>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Arrangements outside the scope of ASC 606 (lease income under ASC 842, insurance contracts, financial instruments, and guarantees) are governed by separate policies and are explicitly excluded from this document.</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2.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Term</w:t>
            </w:r>
          </w:p>
        </w:tc>
        <w:tc>
          <w:tcPr>
            <w:tcW w:type="dxa" w:w="6160"/>
            <w:shd w:fill="0C0C0C" w:val="clear"/>
          </w:tcPr>
          <w:p>
            <w:pPr>
              <w:spacing w:after="60" w:before="60"/>
            </w:pPr>
            <w:r>
              <w:rPr>
                <w:rFonts w:ascii="Calibri" w:cs="Calibri" w:eastAsia="Calibri" w:hAnsi="Calibri"/>
                <w:b/>
                <w:bCs/>
                <w:color w:val="D4AF37"/>
                <w:sz w:val="20"/>
                <w:szCs w:val="20"/>
              </w:rPr>
              <w:t xml:space="preserve">Definition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Contract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An agreement between two or more parties that creates enforceable rights and obligations, meeting all five criteria of ASC 606-10-25-1.</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Performance Obligation</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 promise in a contract to transfer a distinct good or service (or a series of distinct goods/services) to a customer.</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Transaction Price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amount of consideration to which [Company Name] expects to be entitled in exchange for transferring goods or services.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Standalone Selling Price (SSP)</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price at which [Company Name] would sell a promised good or service separately to a customer.</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Variable Consideration</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Consideration that is contingent on the occurrence of a future event, including bonuses, penalties, rebates, refunds, credits, and incentives.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Contract Asset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right to consideration in exchange for goods/services transferred when that right is conditioned on something other than the passage of time.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Contract Liability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obligation to transfer goods/services for which consideration has been received or is due (deferred revenue).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Material Right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An option that provides a customer with a good or service that they would not receive without entering into the contract, constituting a separate performance obligation.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Principal</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entity that controls the good or service before it is transferred to the customer and recognizes revenue at the gross amount.</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Agent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entity that arranges for another party to provide the good or service and recognizes revenue at the net amount (commission/fee).</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3. Policy Statements</w:t>
      </w:r>
    </w:p>
    <w:p>
      <w:pPr>
        <w:pStyle w:val="Heading2"/>
        <w:spacing w:after="150" w:before="300"/>
      </w:pPr>
      <w:r>
        <w:rPr>
          <w:rFonts w:ascii="Georgia" w:cs="Georgia" w:eastAsia="Georgia" w:hAnsi="Georgia"/>
          <w:b/>
          <w:bCs/>
          <w:color w:val="333333"/>
          <w:sz w:val="26"/>
          <w:szCs w:val="26"/>
        </w:rPr>
        <w:t xml:space="preserve">3.1 General Principles</w:t>
      </w:r>
    </w:p>
    <w:p>
      <w:pPr>
        <w:spacing w:after="150" w:before="0"/>
        <w:jc w:val="both"/>
      </w:pPr>
      <w:r>
        <w:rPr>
          <w:rFonts w:ascii="Calibri" w:cs="Calibri" w:eastAsia="Calibri" w:hAnsi="Calibri"/>
          <w:color w:val="333333"/>
          <w:sz w:val="22"/>
          <w:szCs w:val="22"/>
        </w:rPr>
        <w:t xml:space="preserve">[Company Name] recognizes revenue in accordance with the core principle of ASC 606: revenue is recognized when control of promised goods or services is transferred to customers, in an amount that reflects the consideration to which the entity expects to be entitled. Revenue shall not be recognized before the five-step model has been applied and documented.</w:t>
      </w:r>
    </w:p>
    <w:p>
      <w:pPr>
        <w:pStyle w:val="Heading2"/>
        <w:spacing w:after="150" w:before="300"/>
      </w:pPr>
      <w:r>
        <w:rPr>
          <w:rFonts w:ascii="Georgia" w:cs="Georgia" w:eastAsia="Georgia" w:hAnsi="Georgia"/>
          <w:b/>
          <w:bCs/>
          <w:color w:val="333333"/>
          <w:sz w:val="26"/>
          <w:szCs w:val="26"/>
        </w:rPr>
        <w:t xml:space="preserve">3.2 The Five-Step Model</w:t>
      </w:r>
    </w:p>
    <w:p>
      <w:pPr>
        <w:spacing w:after="150" w:before="0"/>
        <w:jc w:val="both"/>
      </w:pPr>
      <w:r>
        <w:rPr>
          <w:rFonts w:ascii="Calibri" w:cs="Calibri" w:eastAsia="Calibri" w:hAnsi="Calibri"/>
          <w:color w:val="333333"/>
          <w:sz w:val="22"/>
          <w:szCs w:val="22"/>
        </w:rPr>
        <w:t xml:space="preserve">All revenue recognition decisions shall follow the five-step model prescribed by ASC 606:</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Identify the contract with the customer — verify all five contract existence criteria are met</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Identify the performance obligations in the contract — assess distinct goods and services</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Determine the transaction price — including fixed and variable consideration</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Allocate the transaction price to performance obligations — using relative standalone selling prices</w:t>
      </w:r>
    </w:p>
    <w:p>
      <w:pPr>
        <w:spacing w:after="80"/>
        <w:ind w:left="720"/>
      </w:pPr>
      <w:r>
        <w:rPr>
          <w:rFonts w:ascii="Calibri" w:cs="Calibri" w:eastAsia="Calibri" w:hAnsi="Calibri"/>
          <w:b/>
          <w:bCs/>
          <w:color w:val="D4AF37"/>
          <w:sz w:val="22"/>
          <w:szCs w:val="22"/>
        </w:rPr>
        <w:t xml:space="preserve">5.  </w:t>
      </w:r>
      <w:r>
        <w:rPr>
          <w:rFonts w:ascii="Calibri" w:cs="Calibri" w:eastAsia="Calibri" w:hAnsi="Calibri"/>
          <w:color w:val="333333"/>
          <w:sz w:val="22"/>
          <w:szCs w:val="22"/>
        </w:rPr>
        <w:t xml:space="preserve">Recognize revenue when (or as) each performance obligation is satisfied — at a point in time or over time</w:t>
      </w:r>
    </w:p>
    <w:p>
      <w:pPr>
        <w:pStyle w:val="Heading2"/>
        <w:spacing w:after="150" w:before="300"/>
      </w:pPr>
      <w:r>
        <w:rPr>
          <w:rFonts w:ascii="Georgia" w:cs="Georgia" w:eastAsia="Georgia" w:hAnsi="Georgia"/>
          <w:b/>
          <w:bCs/>
          <w:color w:val="333333"/>
          <w:sz w:val="26"/>
          <w:szCs w:val="26"/>
        </w:rPr>
        <w:t xml:space="preserve">3.3 Revenue Recognition Timing</w:t>
      </w:r>
    </w:p>
    <w:p>
      <w:pPr>
        <w:spacing w:after="150" w:before="0"/>
        <w:jc w:val="both"/>
      </w:pPr>
      <w:r>
        <w:rPr>
          <w:rFonts w:ascii="Calibri" w:cs="Calibri" w:eastAsia="Calibri" w:hAnsi="Calibri"/>
          <w:color w:val="333333"/>
          <w:sz w:val="22"/>
          <w:szCs w:val="22"/>
        </w:rPr>
        <w:t xml:space="preserve">[Company Name] recognizes revenue when control of the promised goods or services transfers to the customer. Control transfers either at a point in time or over time. For each performance obligation, the company shall determine the appropriate timing based on the criteria in ASC 606-10-25-27 (over time) or ASC 606-10-25-30 (point in time).</w:t>
      </w:r>
    </w:p>
    <w:p>
      <w:pPr>
        <w:pStyle w:val="Heading2"/>
        <w:spacing w:after="150" w:before="300"/>
      </w:pPr>
      <w:r>
        <w:rPr>
          <w:rFonts w:ascii="Georgia" w:cs="Georgia" w:eastAsia="Georgia" w:hAnsi="Georgia"/>
          <w:b/>
          <w:bCs/>
          <w:color w:val="333333"/>
          <w:sz w:val="26"/>
          <w:szCs w:val="26"/>
        </w:rPr>
        <w:t xml:space="preserve">3.4 Contract Modifications</w:t>
      </w:r>
    </w:p>
    <w:p>
      <w:pPr>
        <w:spacing w:after="150" w:before="0"/>
        <w:jc w:val="both"/>
      </w:pPr>
      <w:r>
        <w:rPr>
          <w:rFonts w:ascii="Calibri" w:cs="Calibri" w:eastAsia="Calibri" w:hAnsi="Calibri"/>
          <w:color w:val="333333"/>
          <w:sz w:val="22"/>
          <w:szCs w:val="22"/>
        </w:rPr>
        <w:t xml:space="preserve">Contract modifications shall be evaluated to determine whether they constitute a separate contract, should be treated prospectively, or require a cumulative catch-up adjustment. The Revenue Accounting Manager shall document the analysis for all material modifications. No modification shall be recorded without review by the Technical Accounting function for modifications exceeding [threshold amount].</w:t>
      </w:r>
    </w:p>
    <w:p>
      <w:pPr>
        <w:pStyle w:val="Heading2"/>
        <w:spacing w:after="150" w:before="300"/>
      </w:pPr>
      <w:r>
        <w:rPr>
          <w:rFonts w:ascii="Georgia" w:cs="Georgia" w:eastAsia="Georgia" w:hAnsi="Georgia"/>
          <w:b/>
          <w:bCs/>
          <w:color w:val="333333"/>
          <w:sz w:val="26"/>
          <w:szCs w:val="26"/>
        </w:rPr>
        <w:t xml:space="preserve">3.5 Separation of Duties</w:t>
      </w:r>
    </w:p>
    <w:p>
      <w:pPr>
        <w:spacing w:after="150" w:before="0"/>
        <w:jc w:val="both"/>
      </w:pPr>
      <w:r>
        <w:rPr>
          <w:rFonts w:ascii="Calibri" w:cs="Calibri" w:eastAsia="Calibri" w:hAnsi="Calibri"/>
          <w:color w:val="333333"/>
          <w:sz w:val="22"/>
          <w:szCs w:val="22"/>
        </w:rPr>
        <w:t xml:space="preserve">The individual who negotiates or approves a contract shall not be the same individual who determines the accounting treatment. Revenue recognition entries require independent review and approval by the Revenue Accounting Manager or Controller.</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4. Roles &amp;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Responsibilities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Chief Financial Officer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Owns this policy. Approves significant revenue recognition judgments. Signs off on quarterly and annual revenue reporting. Ensures adequate resources for policy compliance.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Controller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Oversees the application of this policy. Reviews and approves complex revenue arrangements. Ensures consistency across business units. Presents revenue accounting positions to external auditors.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Revenue Accounting Manager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Applies the five-step model to new contract types. Maintains SSP analysis. Reviews contract modifications. Prepares revenue recognition memos for significant arrangements.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Technical Accounting</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Provides guidance on complex arrangements: multi-element, variable consideration, principal vs. agent, licensing, and bill-and-hold. Reviews memos prepared by Revenue Accounting.</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Sales / Business Development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Communicates contract terms accurately and completely. Submits contracts to finance before execution for revenue impact assessment on arrangements exceeding [threshold]. Does not commit to non-standard terms without approval.</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Legal</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Reviews contract language for revenue recognition implications. Ensures enforceable rights and obligations. Advises on collectability, change-of-control, and termination provisions.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FP&amp;A</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Incorporates revenue recognition policies into forecasts and budgets. Ensures forecast methodology is consistent with GAAP recognition patterns.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Billing / Accounts Receivable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Invoices per contract terms. Reports billing anomalies to Revenue Accounting. Maintains contract billing schedules.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Internal Audit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Periodically tests compliance with this policy. Reports findings to the Audit Committee. Validates the operating effectiveness of revenue recognition controls.</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5. Detailed Procedures</w:t>
      </w:r>
    </w:p>
    <w:p>
      <w:pPr>
        <w:pStyle w:val="Heading2"/>
        <w:spacing w:after="150" w:before="300"/>
      </w:pPr>
      <w:r>
        <w:rPr>
          <w:rFonts w:ascii="Georgia" w:cs="Georgia" w:eastAsia="Georgia" w:hAnsi="Georgia"/>
          <w:b/>
          <w:bCs/>
          <w:color w:val="333333"/>
          <w:sz w:val="26"/>
          <w:szCs w:val="26"/>
        </w:rPr>
        <w:t xml:space="preserve">5.1 Step 1 — Contract Identification</w:t>
      </w:r>
    </w:p>
    <w:p>
      <w:pPr>
        <w:spacing w:after="150" w:before="0"/>
        <w:jc w:val="both"/>
      </w:pPr>
      <w:r>
        <w:rPr>
          <w:rFonts w:ascii="Calibri" w:cs="Calibri" w:eastAsia="Calibri" w:hAnsi="Calibri"/>
          <w:color w:val="333333"/>
          <w:sz w:val="22"/>
          <w:szCs w:val="22"/>
        </w:rPr>
        <w:t xml:space="preserve">Before recognizing revenue, [Company Name] shall confirm that all five criteria for contract existence are met: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contract has been approved by both parties (written signature, electronic acceptance, or other evidence of mutual agreement)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Each party's rights regarding the goods or services to be transferred can be identified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payment terms for the goods or services to be transferred can be identified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contract has commercial substance (the risk, timing, or amount of future cash flows is expected to change)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It is probable that [Company Name] will collect the consideration to which it will be entitled</w:t>
      </w:r>
    </w:p>
    <w:p>
      <w:pPr>
        <w:spacing w:after="150" w:before="0"/>
        <w:jc w:val="both"/>
      </w:pPr>
      <w:r>
        <w:rPr>
          <w:rFonts w:ascii="Calibri" w:cs="Calibri" w:eastAsia="Calibri" w:hAnsi="Calibri"/>
          <w:color w:val="333333"/>
          <w:sz w:val="22"/>
          <w:szCs w:val="22"/>
        </w:rPr>
        <w:t xml:space="preserve">If any criterion is not met, consideration received shall be recorded as a contract liability until the criteria are met or one of the termination conditions in ASC 606-10-25-7 is met.</w:t>
      </w:r>
    </w:p>
    <w:p>
      <w:pPr>
        <w:pStyle w:val="Heading3"/>
        <w:spacing w:after="100" w:before="200"/>
      </w:pPr>
      <w:r>
        <w:rPr>
          <w:rFonts w:ascii="Georgia" w:cs="Georgia" w:eastAsia="Georgia" w:hAnsi="Georgia"/>
          <w:b/>
          <w:bCs/>
          <w:color w:val="444444"/>
          <w:sz w:val="22"/>
          <w:szCs w:val="22"/>
        </w:rPr>
        <w:t xml:space="preserve">5.1.1 Collectability Assessment</w:t>
      </w:r>
    </w:p>
    <w:p>
      <w:pPr>
        <w:spacing w:after="150" w:before="0"/>
        <w:jc w:val="both"/>
      </w:pPr>
      <w:r>
        <w:rPr>
          <w:rFonts w:ascii="Calibri" w:cs="Calibri" w:eastAsia="Calibri" w:hAnsi="Calibri"/>
          <w:color w:val="333333"/>
          <w:sz w:val="22"/>
          <w:szCs w:val="22"/>
        </w:rPr>
        <w:t xml:space="preserve">The collectability assessment evaluates the customer's ability and intention to pay the amounts due as they become due. Factors to consider include: customer credit history, payment history with [Company Name], credit rating, industry conditions, and economic environment. The assessment is performed at contract inception and reassessed only when significant changes in facts and circumstances occur.</w:t>
      </w:r>
    </w:p>
    <w:p>
      <w:pPr>
        <w:pStyle w:val="Heading3"/>
        <w:spacing w:after="100" w:before="200"/>
      </w:pPr>
      <w:r>
        <w:rPr>
          <w:rFonts w:ascii="Georgia" w:cs="Georgia" w:eastAsia="Georgia" w:hAnsi="Georgia"/>
          <w:b/>
          <w:bCs/>
          <w:color w:val="444444"/>
          <w:sz w:val="22"/>
          <w:szCs w:val="22"/>
        </w:rPr>
        <w:t xml:space="preserve">5.1.2 Contract Combination</w:t>
      </w:r>
    </w:p>
    <w:p>
      <w:pPr>
        <w:spacing w:after="150" w:before="0"/>
        <w:jc w:val="both"/>
      </w:pPr>
      <w:r>
        <w:rPr>
          <w:rFonts w:ascii="Calibri" w:cs="Calibri" w:eastAsia="Calibri" w:hAnsi="Calibri"/>
          <w:color w:val="333333"/>
          <w:sz w:val="22"/>
          <w:szCs w:val="22"/>
        </w:rPr>
        <w:t xml:space="preserve">Contracts entered into at or near the same time with the same customer (or related parties) shall be combined and treated as a single contract when any of the following criteria are met: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contracts are negotiated as a package with a single commercial objective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consideration in one contract depends on the price or performance of the other contract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goods or services promised in the contracts are a single performance obligation</w:t>
      </w:r>
    </w:p>
    <w:p>
      <w:pPr>
        <w:pStyle w:val="Heading2"/>
        <w:spacing w:after="150" w:before="300"/>
      </w:pPr>
      <w:r>
        <w:rPr>
          <w:rFonts w:ascii="Georgia" w:cs="Georgia" w:eastAsia="Georgia" w:hAnsi="Georgia"/>
          <w:b/>
          <w:bCs/>
          <w:color w:val="333333"/>
          <w:sz w:val="26"/>
          <w:szCs w:val="26"/>
        </w:rPr>
        <w:t xml:space="preserve">5.2 Step 2 — Identifying Performance Obligations</w:t>
      </w:r>
    </w:p>
    <w:p>
      <w:pPr>
        <w:spacing w:after="150" w:before="0"/>
        <w:jc w:val="both"/>
      </w:pPr>
      <w:r>
        <w:rPr>
          <w:rFonts w:ascii="Calibri" w:cs="Calibri" w:eastAsia="Calibri" w:hAnsi="Calibri"/>
          <w:color w:val="333333"/>
          <w:sz w:val="22"/>
          <w:szCs w:val="22"/>
        </w:rPr>
        <w:t xml:space="preserve">At contract inception, [Company Name] shall assess the goods or services promised in the contract and identify each performance obligation. A good or service is distinct if both of the following criteria are met: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customer can benefit from the good or service either on its own or together with other readily available resources (capable of being distinct)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promise to transfer the good or service is separately identifiable from other promises in the contract (distinct within the context of the contract)</w:t>
      </w:r>
    </w:p>
    <w:p>
      <w:pPr>
        <w:pStyle w:val="Heading3"/>
        <w:spacing w:after="100" w:before="200"/>
      </w:pPr>
      <w:r>
        <w:rPr>
          <w:rFonts w:ascii="Georgia" w:cs="Georgia" w:eastAsia="Georgia" w:hAnsi="Georgia"/>
          <w:b/>
          <w:bCs/>
          <w:color w:val="444444"/>
          <w:sz w:val="22"/>
          <w:szCs w:val="22"/>
        </w:rPr>
        <w:t xml:space="preserve">5.2.1 Material Rights</w:t>
      </w:r>
    </w:p>
    <w:p>
      <w:pPr>
        <w:spacing w:after="150" w:before="0"/>
        <w:jc w:val="both"/>
      </w:pPr>
      <w:r>
        <w:rPr>
          <w:rFonts w:ascii="Calibri" w:cs="Calibri" w:eastAsia="Calibri" w:hAnsi="Calibri"/>
          <w:color w:val="333333"/>
          <w:sz w:val="22"/>
          <w:szCs w:val="22"/>
        </w:rPr>
        <w:t xml:space="preserve">Options granted to customers (renewal discounts, loyalty points, future purchase credits) shall be evaluated for whether they constitute material rights. An option that provides a customer with a good or service at a price significantly below the standalone selling price constitutes a material right and is accounted for as a separate performance obligation.</w:t>
      </w:r>
    </w:p>
    <w:p>
      <w:pPr>
        <w:pStyle w:val="Heading3"/>
        <w:spacing w:after="100" w:before="200"/>
      </w:pPr>
      <w:r>
        <w:rPr>
          <w:rFonts w:ascii="Georgia" w:cs="Georgia" w:eastAsia="Georgia" w:hAnsi="Georgia"/>
          <w:b/>
          <w:bCs/>
          <w:color w:val="444444"/>
          <w:sz w:val="22"/>
          <w:szCs w:val="22"/>
        </w:rPr>
        <w:t xml:space="preserve">5.2.2 Series Guidance</w:t>
      </w:r>
    </w:p>
    <w:p>
      <w:pPr>
        <w:spacing w:after="150" w:before="0"/>
        <w:jc w:val="both"/>
      </w:pPr>
      <w:r>
        <w:rPr>
          <w:rFonts w:ascii="Calibri" w:cs="Calibri" w:eastAsia="Calibri" w:hAnsi="Calibri"/>
          <w:color w:val="333333"/>
          <w:sz w:val="22"/>
          <w:szCs w:val="22"/>
        </w:rPr>
        <w:t xml:space="preserve">A series of distinct goods or services that are substantially the same and have the same pattern of transfer to the customer shall be treated as a single performance obligation when each distinct good or service in the series meets the criteria for over-time recognition and the same method is used to measure progress toward completion.</w:t>
      </w:r>
    </w:p>
    <w:p>
      <w:pPr>
        <w:pStyle w:val="Heading2"/>
        <w:spacing w:after="150" w:before="300"/>
      </w:pPr>
      <w:r>
        <w:rPr>
          <w:rFonts w:ascii="Georgia" w:cs="Georgia" w:eastAsia="Georgia" w:hAnsi="Georgia"/>
          <w:b/>
          <w:bCs/>
          <w:color w:val="333333"/>
          <w:sz w:val="26"/>
          <w:szCs w:val="26"/>
        </w:rPr>
        <w:t xml:space="preserve">5.3 Step 3 — Determining Transaction Price</w:t>
      </w:r>
    </w:p>
    <w:p>
      <w:pPr>
        <w:spacing w:after="150" w:before="0"/>
        <w:jc w:val="both"/>
      </w:pPr>
      <w:r>
        <w:rPr>
          <w:rFonts w:ascii="Calibri" w:cs="Calibri" w:eastAsia="Calibri" w:hAnsi="Calibri"/>
          <w:color w:val="333333"/>
          <w:sz w:val="22"/>
          <w:szCs w:val="22"/>
        </w:rPr>
        <w:t xml:space="preserve">The transaction price is the total amount of consideration to which [Company Name] expects to be entitled. The transaction price includes: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Fixed consideration — stated contract price and fees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Variable consideration — bonuses, penalties, rebates, refunds, credits, price concessions, incentives, and performance-based fees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Noncash consideration — measured at fair value at contract inception</w:t>
      </w:r>
    </w:p>
    <w:p>
      <w:pPr>
        <w:pStyle w:val="Heading3"/>
        <w:spacing w:after="100" w:before="200"/>
      </w:pPr>
      <w:r>
        <w:rPr>
          <w:rFonts w:ascii="Georgia" w:cs="Georgia" w:eastAsia="Georgia" w:hAnsi="Georgia"/>
          <w:b/>
          <w:bCs/>
          <w:color w:val="444444"/>
          <w:sz w:val="22"/>
          <w:szCs w:val="22"/>
        </w:rPr>
        <w:t xml:space="preserve">5.3.1 Variable Consideration Estimation</w:t>
      </w:r>
    </w:p>
    <w:p>
      <w:pPr>
        <w:spacing w:after="150" w:before="0"/>
        <w:jc w:val="both"/>
      </w:pPr>
      <w:r>
        <w:rPr>
          <w:rFonts w:ascii="Calibri" w:cs="Calibri" w:eastAsia="Calibri" w:hAnsi="Calibri"/>
          <w:color w:val="333333"/>
          <w:sz w:val="22"/>
          <w:szCs w:val="22"/>
        </w:rPr>
        <w:t xml:space="preserve">[Company Name] shall estimate variable consideration using whichever method better predicts the amount of consideration: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Expected value method — probability-weighted amount of possible consideration amounts (appropriate when there are many possible outcomes)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Most likely amount — single most likely amount from a range of possible outcomes (appropriate for binary or limited outcomes)</w:t>
      </w:r>
    </w:p>
    <w:p>
      <w:pPr>
        <w:pStyle w:val="Heading3"/>
        <w:spacing w:after="100" w:before="200"/>
      </w:pPr>
      <w:r>
        <w:rPr>
          <w:rFonts w:ascii="Georgia" w:cs="Georgia" w:eastAsia="Georgia" w:hAnsi="Georgia"/>
          <w:b/>
          <w:bCs/>
          <w:color w:val="444444"/>
          <w:sz w:val="22"/>
          <w:szCs w:val="22"/>
        </w:rPr>
        <w:t xml:space="preserve">5.3.2 Variable Consideration Constraint</w:t>
      </w:r>
    </w:p>
    <w:p>
      <w:pPr>
        <w:spacing w:after="150" w:before="0"/>
        <w:jc w:val="both"/>
      </w:pPr>
      <w:r>
        <w:rPr>
          <w:rFonts w:ascii="Calibri" w:cs="Calibri" w:eastAsia="Calibri" w:hAnsi="Calibri"/>
          <w:color w:val="333333"/>
          <w:sz w:val="22"/>
          <w:szCs w:val="22"/>
        </w:rPr>
        <w:t xml:space="preserve">Variable consideration shall be included in the transaction price only to the extent that it is highly probable that a significant reversal in the amount of cumulative revenue recognized will not occur when the uncertainty is resolved. The constraint assessment considers both the likelihood and magnitude of a potential revenue reversal.</w:t>
      </w:r>
    </w:p>
    <w:p>
      <w:pPr>
        <w:pStyle w:val="Heading3"/>
        <w:spacing w:after="100" w:before="200"/>
      </w:pPr>
      <w:r>
        <w:rPr>
          <w:rFonts w:ascii="Georgia" w:cs="Georgia" w:eastAsia="Georgia" w:hAnsi="Georgia"/>
          <w:b/>
          <w:bCs/>
          <w:color w:val="444444"/>
          <w:sz w:val="22"/>
          <w:szCs w:val="22"/>
        </w:rPr>
        <w:t xml:space="preserve">5.3.3 Significant Financing Component</w:t>
      </w:r>
    </w:p>
    <w:p>
      <w:pPr>
        <w:spacing w:after="150" w:before="0"/>
        <w:jc w:val="both"/>
      </w:pPr>
      <w:r>
        <w:rPr>
          <w:rFonts w:ascii="Calibri" w:cs="Calibri" w:eastAsia="Calibri" w:hAnsi="Calibri"/>
          <w:color w:val="333333"/>
          <w:sz w:val="22"/>
          <w:szCs w:val="22"/>
        </w:rPr>
        <w:t xml:space="preserve">When the timing of payments provides a significant financing benefit, the transaction price shall be adjusted to reflect the time value of money. The practical expedient may be applied when the period between payment and transfer is one year or less.</w:t>
      </w:r>
    </w:p>
    <w:p>
      <w:r>
        <w:br w:type="page"/>
      </w:r>
    </w:p>
    <w:p>
      <w:pPr>
        <w:pStyle w:val="Heading2"/>
        <w:spacing w:after="150" w:before="300"/>
      </w:pPr>
      <w:r>
        <w:rPr>
          <w:rFonts w:ascii="Georgia" w:cs="Georgia" w:eastAsia="Georgia" w:hAnsi="Georgia"/>
          <w:b/>
          <w:bCs/>
          <w:color w:val="333333"/>
          <w:sz w:val="26"/>
          <w:szCs w:val="26"/>
        </w:rPr>
        <w:t xml:space="preserve">5.4 Step 4 — Allocating Transaction Price</w:t>
      </w:r>
    </w:p>
    <w:p>
      <w:pPr>
        <w:spacing w:after="150" w:before="0"/>
        <w:jc w:val="both"/>
      </w:pPr>
      <w:r>
        <w:rPr>
          <w:rFonts w:ascii="Calibri" w:cs="Calibri" w:eastAsia="Calibri" w:hAnsi="Calibri"/>
          <w:color w:val="333333"/>
          <w:sz w:val="22"/>
          <w:szCs w:val="22"/>
        </w:rPr>
        <w:t xml:space="preserve">The transaction price shall be allocated to each performance obligation based on the relative standalone selling price (SSP) of each obligation. SSP shall be determined using the following hierarchy:</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Observable standalone selling price — the price charged when the good or service is sold separately in similar circumstances to similar customers</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Adjusted market assessment — estimate what the market would be willing to pay, referencing competitor pricing and market conditions</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Expected cost plus margin — forecast expected costs plus an appropriate margin for the specific good or service</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Residual approach — permitted only when SSP is highly variable or uncertain, and only when used in conjunction with observable SSPs for other obligations</w:t>
      </w:r>
    </w:p>
    <w:p>
      <w:pPr>
        <w:pStyle w:val="Heading3"/>
        <w:spacing w:after="100" w:before="200"/>
      </w:pPr>
      <w:r>
        <w:rPr>
          <w:rFonts w:ascii="Georgia" w:cs="Georgia" w:eastAsia="Georgia" w:hAnsi="Georgia"/>
          <w:b/>
          <w:bCs/>
          <w:color w:val="444444"/>
          <w:sz w:val="22"/>
          <w:szCs w:val="22"/>
        </w:rPr>
        <w:t xml:space="preserve">5.4.1 SSP Documentation</w:t>
      </w:r>
    </w:p>
    <w:p>
      <w:pPr>
        <w:spacing w:after="150" w:before="0"/>
        <w:jc w:val="both"/>
      </w:pPr>
      <w:r>
        <w:rPr>
          <w:rFonts w:ascii="Calibri" w:cs="Calibri" w:eastAsia="Calibri" w:hAnsi="Calibri"/>
          <w:color w:val="333333"/>
          <w:sz w:val="22"/>
          <w:szCs w:val="22"/>
        </w:rPr>
        <w:t xml:space="preserve">[Company Name] shall maintain a current SSP analysis for all product and service categories. The SSP analysis shall be updated at least [annually/semi-annually] and reviewed by the Controller. The analysis shall include: data sources, methodology, supporting calculations, and approval.</w:t>
      </w:r>
    </w:p>
    <w:p>
      <w:pPr>
        <w:pStyle w:val="Heading3"/>
        <w:spacing w:after="100" w:before="200"/>
      </w:pPr>
      <w:r>
        <w:rPr>
          <w:rFonts w:ascii="Georgia" w:cs="Georgia" w:eastAsia="Georgia" w:hAnsi="Georgia"/>
          <w:b/>
          <w:bCs/>
          <w:color w:val="444444"/>
          <w:sz w:val="22"/>
          <w:szCs w:val="22"/>
        </w:rPr>
        <w:t xml:space="preserve">5.4.2 Discount Allocation</w:t>
      </w:r>
    </w:p>
    <w:p>
      <w:pPr>
        <w:spacing w:after="150" w:before="0"/>
        <w:jc w:val="both"/>
      </w:pPr>
      <w:r>
        <w:rPr>
          <w:rFonts w:ascii="Calibri" w:cs="Calibri" w:eastAsia="Calibri" w:hAnsi="Calibri"/>
          <w:color w:val="333333"/>
          <w:sz w:val="22"/>
          <w:szCs w:val="22"/>
        </w:rPr>
        <w:t xml:space="preserve">A discount on a bundled arrangement shall be allocated proportionally to all performance obligations unless there is observable evidence that the entire discount relates to only one or some of the obligations, and specific criteria in ASC 606-10-32-38 are met.</w:t>
      </w:r>
    </w:p>
    <w:p>
      <w:pPr>
        <w:pStyle w:val="Heading2"/>
        <w:spacing w:after="150" w:before="300"/>
      </w:pPr>
      <w:r>
        <w:rPr>
          <w:rFonts w:ascii="Georgia" w:cs="Georgia" w:eastAsia="Georgia" w:hAnsi="Georgia"/>
          <w:b/>
          <w:bCs/>
          <w:color w:val="333333"/>
          <w:sz w:val="26"/>
          <w:szCs w:val="26"/>
        </w:rPr>
        <w:t xml:space="preserve">5.5 Step 5 — Revenue Recognition</w:t>
      </w:r>
    </w:p>
    <w:p>
      <w:pPr>
        <w:spacing w:after="150" w:before="0"/>
        <w:jc w:val="both"/>
      </w:pPr>
      <w:r>
        <w:rPr>
          <w:rFonts w:ascii="Calibri" w:cs="Calibri" w:eastAsia="Calibri" w:hAnsi="Calibri"/>
          <w:color w:val="333333"/>
          <w:sz w:val="22"/>
          <w:szCs w:val="22"/>
        </w:rPr>
        <w:t xml:space="preserve">[Company Name] shall recognize revenue when (or as) it satisfies a performance obligation by transferring a promised good or service to the customer. A performance obligation is satisfied over time if one of the following criteria is met: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customer simultaneously receives and consumes the benefits as [Company Name] performs (e.g., recurring services)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Performance creates or enhances an asset that the customer controls as the asset is created (e.g., construction on customer's property)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Performance does not create an asset with alternative use, and [Company Name] has an enforceable right to payment for performance completed to date</w:t>
      </w:r>
    </w:p>
    <w:p>
      <w:pPr>
        <w:spacing w:after="150" w:before="0"/>
        <w:jc w:val="both"/>
      </w:pPr>
      <w:r>
        <w:rPr>
          <w:rFonts w:ascii="Calibri" w:cs="Calibri" w:eastAsia="Calibri" w:hAnsi="Calibri"/>
          <w:color w:val="333333"/>
          <w:sz w:val="22"/>
          <w:szCs w:val="22"/>
        </w:rPr>
        <w:t xml:space="preserve">If none of the above criteria are met, the performance obligation is satisfied at a point in time when control transfers. Indicators of control transfer include: present right to payment, legal title transfer, physical possession transfer, significant risks and rewards transfer, and customer acceptance.</w:t>
      </w:r>
    </w:p>
    <w:p>
      <w:pPr>
        <w:pStyle w:val="Heading3"/>
        <w:spacing w:after="100" w:before="200"/>
      </w:pPr>
      <w:r>
        <w:rPr>
          <w:rFonts w:ascii="Georgia" w:cs="Georgia" w:eastAsia="Georgia" w:hAnsi="Georgia"/>
          <w:b/>
          <w:bCs/>
          <w:color w:val="444444"/>
          <w:sz w:val="22"/>
          <w:szCs w:val="22"/>
        </w:rPr>
        <w:t xml:space="preserve">5.5.1 Over-Time Revenue — Measure of Progress</w:t>
      </w:r>
    </w:p>
    <w:p>
      <w:pPr>
        <w:spacing w:after="150" w:before="0"/>
        <w:jc w:val="both"/>
      </w:pPr>
      <w:r>
        <w:rPr>
          <w:rFonts w:ascii="Calibri" w:cs="Calibri" w:eastAsia="Calibri" w:hAnsi="Calibri"/>
          <w:color w:val="333333"/>
          <w:sz w:val="22"/>
          <w:szCs w:val="22"/>
        </w:rPr>
        <w:t xml:space="preserve">For performance obligations satisfied over time, [Company Name] shall select a measure of progress that faithfully depicts performance: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Output methods — units delivered, milestones achieved, time elapsed, or surveys of performance completed to date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Input methods — costs incurred, labor hours expended, machine hours used, or time elapsed relative to total estimated inputs</w:t>
      </w:r>
    </w:p>
    <w:p>
      <w:pPr>
        <w:spacing w:after="150" w:before="0"/>
        <w:jc w:val="both"/>
      </w:pPr>
      <w:r>
        <w:rPr>
          <w:rFonts w:ascii="Calibri" w:cs="Calibri" w:eastAsia="Calibri" w:hAnsi="Calibri"/>
          <w:color w:val="333333"/>
          <w:sz w:val="22"/>
          <w:szCs w:val="22"/>
        </w:rPr>
        <w:t xml:space="preserve">The selected method shall be applied consistently to similar obligations and documented in the revenue recognition memo.</w:t>
      </w:r>
    </w:p>
    <w:p>
      <w:pPr>
        <w:pStyle w:val="Heading3"/>
        <w:spacing w:after="100" w:before="200"/>
      </w:pPr>
      <w:r>
        <w:rPr>
          <w:rFonts w:ascii="Georgia" w:cs="Georgia" w:eastAsia="Georgia" w:hAnsi="Georgia"/>
          <w:b/>
          <w:bCs/>
          <w:color w:val="444444"/>
          <w:sz w:val="22"/>
          <w:szCs w:val="22"/>
        </w:rPr>
        <w:t xml:space="preserve">5.5.2 Principal vs. Agent</w:t>
      </w:r>
    </w:p>
    <w:p>
      <w:pPr>
        <w:spacing w:after="150" w:before="0"/>
        <w:jc w:val="both"/>
      </w:pPr>
      <w:r>
        <w:rPr>
          <w:rFonts w:ascii="Calibri" w:cs="Calibri" w:eastAsia="Calibri" w:hAnsi="Calibri"/>
          <w:color w:val="333333"/>
          <w:sz w:val="22"/>
          <w:szCs w:val="22"/>
        </w:rPr>
        <w:t xml:space="preserve">[Company Name] shall evaluate for each performance obligation whether it is acting as a principal (controls the good/service before transfer) or agent (arranges for another party to provide the good/service). The primary indicator is whether [Company Name] controls the good or service before it is transferred. Supporting indicators include: primary responsibility for fulfillment, inventory risk, and pricing discretion.</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6. Approval Authorities &amp; Thresholds</w:t>
      </w:r>
    </w:p>
    <w:p>
      <w:pPr>
        <w:spacing w:after="150" w:before="0"/>
        <w:jc w:val="both"/>
      </w:pPr>
      <w:r>
        <w:rPr>
          <w:rFonts w:ascii="Calibri" w:cs="Calibri" w:eastAsia="Calibri" w:hAnsi="Calibri"/>
          <w:color w:val="333333"/>
          <w:sz w:val="22"/>
          <w:szCs w:val="22"/>
        </w:rPr>
        <w:t xml:space="preserve">The following approval matrix governs revenue recognition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Decision Type</w:t>
            </w:r>
          </w:p>
        </w:tc>
        <w:tc>
          <w:tcPr>
            <w:tcW w:type="dxa" w:w="2400"/>
            <w:shd w:fill="0C0C0C" w:val="clear"/>
          </w:tcPr>
          <w:p>
            <w:pPr>
              <w:spacing w:after="60" w:before="60"/>
            </w:pPr>
            <w:r>
              <w:rPr>
                <w:rFonts w:ascii="Calibri" w:cs="Calibri" w:eastAsia="Calibri" w:hAnsi="Calibri"/>
                <w:b/>
                <w:bCs/>
                <w:color w:val="D4AF37"/>
                <w:sz w:val="20"/>
                <w:szCs w:val="20"/>
              </w:rPr>
              <w:t xml:space="preserve">Threshold</w:t>
            </w:r>
          </w:p>
        </w:tc>
        <w:tc>
          <w:tcPr>
            <w:tcW w:type="dxa" w:w="4560"/>
            <w:shd w:fill="0C0C0C" w:val="clear"/>
          </w:tcPr>
          <w:p>
            <w:pPr>
              <w:spacing w:after="60" w:before="60"/>
            </w:pPr>
            <w:r>
              <w:rPr>
                <w:rFonts w:ascii="Calibri" w:cs="Calibri" w:eastAsia="Calibri" w:hAnsi="Calibri"/>
                <w:b/>
                <w:bCs/>
                <w:color w:val="D4AF37"/>
                <w:sz w:val="20"/>
                <w:szCs w:val="20"/>
              </w:rPr>
              <w:t xml:space="preserve">Approver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Standard contract recognition</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 amounts</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Revenue Accounting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Non-standard terms or new contract types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 amounts</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Variable consideration estimates</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&lt; $500K</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Revenue Accounting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Variable consideration estimates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&gt; $500K</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 CFO</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Principal vs. agent determination</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 amounts</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Technical Accounting + 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Contract modification treatment</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&lt; $250K impact</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Revenue Accounting Manager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Contract modification treatment</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&gt; $250K impact</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SSP methodology changes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 CFO</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Bill-and-hold arrangements</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 + CFO</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Side letter or verbal amendments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CFO (must be in writing)</w:t>
            </w:r>
          </w:p>
        </w:tc>
      </w:tr>
    </w:tbl>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All thresholds above refer to the total contract value or the cumulative revenue impact of the judgment, whichever is greater. Thresholds should be reviewed and updated annually.</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7. Exceptions &amp; Escalation</w:t>
      </w:r>
    </w:p>
    <w:p>
      <w:pPr>
        <w:pStyle w:val="Heading2"/>
        <w:spacing w:after="150" w:before="300"/>
      </w:pPr>
      <w:r>
        <w:rPr>
          <w:rFonts w:ascii="Georgia" w:cs="Georgia" w:eastAsia="Georgia" w:hAnsi="Georgia"/>
          <w:b/>
          <w:bCs/>
          <w:color w:val="333333"/>
          <w:sz w:val="26"/>
          <w:szCs w:val="26"/>
        </w:rPr>
        <w:t xml:space="preserve">7.1 Exception Process</w:t>
      </w:r>
    </w:p>
    <w:p>
      <w:pPr>
        <w:spacing w:after="150" w:before="0"/>
        <w:jc w:val="both"/>
      </w:pPr>
      <w:r>
        <w:rPr>
          <w:rFonts w:ascii="Calibri" w:cs="Calibri" w:eastAsia="Calibri" w:hAnsi="Calibri"/>
          <w:color w:val="333333"/>
          <w:sz w:val="22"/>
          <w:szCs w:val="22"/>
        </w:rPr>
        <w:t xml:space="preserve">No exceptions to this policy are permitted without the written approval of the Controller and CFO. Requests for exception shall include: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Description of the arrangement and why standard policy cannot be applied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Proposed accounting treatment with supporting GAAP references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impact analysis (current and future periods)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Risk assessment and mitigating controls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External auditor consultation (required for material exceptions)</w:t>
      </w:r>
    </w:p>
    <w:p>
      <w:pPr>
        <w:pStyle w:val="Heading2"/>
        <w:spacing w:after="150" w:before="300"/>
      </w:pPr>
      <w:r>
        <w:rPr>
          <w:rFonts w:ascii="Georgia" w:cs="Georgia" w:eastAsia="Georgia" w:hAnsi="Georgia"/>
          <w:b/>
          <w:bCs/>
          <w:color w:val="333333"/>
          <w:sz w:val="26"/>
          <w:szCs w:val="26"/>
        </w:rPr>
        <w:t xml:space="preserve">7.2 Escalation Protocol</w:t>
      </w:r>
    </w:p>
    <w:p>
      <w:pPr>
        <w:spacing w:after="150" w:before="0"/>
        <w:jc w:val="both"/>
      </w:pPr>
      <w:r>
        <w:rPr>
          <w:rFonts w:ascii="Calibri" w:cs="Calibri" w:eastAsia="Calibri" w:hAnsi="Calibri"/>
          <w:color w:val="333333"/>
          <w:sz w:val="22"/>
          <w:szCs w:val="22"/>
        </w:rPr>
        <w:t xml:space="preserve">Revenue recognition questions shall be escalated through the following chain:</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Revenue Accounting Manager — first point of contact for application questions</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Technical Accounting — for complex arrangements, new standards, or novel transaction types</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Controller — for significant judgments, material estimates, and policy interpretation</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CFO — for matters with material financial statement impact or external auditor disagreements</w:t>
      </w:r>
    </w:p>
    <w:p>
      <w:pPr>
        <w:spacing w:after="80"/>
        <w:ind w:left="720"/>
      </w:pPr>
      <w:r>
        <w:rPr>
          <w:rFonts w:ascii="Calibri" w:cs="Calibri" w:eastAsia="Calibri" w:hAnsi="Calibri"/>
          <w:b/>
          <w:bCs/>
          <w:color w:val="D4AF37"/>
          <w:sz w:val="22"/>
          <w:szCs w:val="22"/>
        </w:rPr>
        <w:t xml:space="preserve">5.  </w:t>
      </w:r>
      <w:r>
        <w:rPr>
          <w:rFonts w:ascii="Calibri" w:cs="Calibri" w:eastAsia="Calibri" w:hAnsi="Calibri"/>
          <w:color w:val="333333"/>
          <w:sz w:val="22"/>
          <w:szCs w:val="22"/>
        </w:rPr>
        <w:t xml:space="preserve">Audit Committee — for matters involving potential material misstatement or fraud</w:t>
      </w:r>
    </w:p>
    <w:p>
      <w:pPr>
        <w:pStyle w:val="Heading2"/>
        <w:spacing w:after="150" w:before="300"/>
      </w:pPr>
      <w:r>
        <w:rPr>
          <w:rFonts w:ascii="Georgia" w:cs="Georgia" w:eastAsia="Georgia" w:hAnsi="Georgia"/>
          <w:b/>
          <w:bCs/>
          <w:color w:val="333333"/>
          <w:sz w:val="26"/>
          <w:szCs w:val="26"/>
        </w:rPr>
        <w:t xml:space="preserve">7.3 Side Letters and Verbal Agreements</w:t>
      </w:r>
    </w:p>
    <w:p>
      <w:pPr>
        <w:spacing w:after="150" w:before="0"/>
        <w:jc w:val="both"/>
      </w:pPr>
      <w:r>
        <w:rPr>
          <w:rFonts w:ascii="Calibri" w:cs="Calibri" w:eastAsia="Calibri" w:hAnsi="Calibri"/>
          <w:color w:val="333333"/>
          <w:sz w:val="22"/>
          <w:szCs w:val="22"/>
        </w:rPr>
        <w:t xml:space="preserve">[Company Name] strictly prohibits side letters, verbal amendments, or undisclosed agreements that modify the terms of executed customer contracts. Any such arrangements discovered shall be immediately reported to the Controller and Legal. Revenue recognition shall be reassessed based on the complete set of terms, including any side agreements.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8. Compliance Monitoring &amp; Testing</w:t>
      </w:r>
    </w:p>
    <w:p>
      <w:pPr>
        <w:pStyle w:val="Heading2"/>
        <w:spacing w:after="150" w:before="300"/>
      </w:pPr>
      <w:r>
        <w:rPr>
          <w:rFonts w:ascii="Georgia" w:cs="Georgia" w:eastAsia="Georgia" w:hAnsi="Georgia"/>
          <w:b/>
          <w:bCs/>
          <w:color w:val="333333"/>
          <w:sz w:val="26"/>
          <w:szCs w:val="26"/>
        </w:rPr>
        <w:t xml:space="preserve">8.1 Ongoing Monitoring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review of all revenue journal entries by the Controller or designee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review of the top 20 revenue contracts by the Revenue Accounting Manager for proper application of the five-step model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SSP analysis update and review for material changes in selling prices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deferred revenue rollforward reconciliation to the general ledger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contract asset and contract liability analysis for unusual movements</w:t>
      </w:r>
    </w:p>
    <w:p>
      <w:pPr>
        <w:pStyle w:val="Heading2"/>
        <w:spacing w:after="150" w:before="300"/>
      </w:pPr>
      <w:r>
        <w:rPr>
          <w:rFonts w:ascii="Georgia" w:cs="Georgia" w:eastAsia="Georgia" w:hAnsi="Georgia"/>
          <w:b/>
          <w:bCs/>
          <w:color w:val="333333"/>
          <w:sz w:val="26"/>
          <w:szCs w:val="26"/>
        </w:rPr>
        <w:t xml:space="preserve">8.2 Periodic Testing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internal audit of revenue recognition compliance covering a sample of arrangements across all revenue streams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Semi-annual review of new contract types and modifications for proper treatment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review of variable consideration estimates vs. actual outcomes (constraint effectiveness)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training completion verification for all personnel in scope of this policy</w:t>
      </w:r>
    </w:p>
    <w:p>
      <w:pPr>
        <w:pStyle w:val="Heading2"/>
        <w:spacing w:after="150" w:before="300"/>
      </w:pPr>
      <w:r>
        <w:rPr>
          <w:rFonts w:ascii="Georgia" w:cs="Georgia" w:eastAsia="Georgia" w:hAnsi="Georgia"/>
          <w:b/>
          <w:bCs/>
          <w:color w:val="333333"/>
          <w:sz w:val="26"/>
          <w:szCs w:val="26"/>
        </w:rPr>
        <w:t xml:space="preserve">8.3 Key Performance Indicators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KPI</w:t>
            </w:r>
          </w:p>
        </w:tc>
        <w:tc>
          <w:tcPr>
            <w:tcW w:type="dxa" w:w="6160"/>
            <w:shd w:fill="0C0C0C" w:val="clear"/>
          </w:tcPr>
          <w:p>
            <w:pPr>
              <w:spacing w:after="60" w:before="60"/>
            </w:pPr>
            <w:r>
              <w:rPr>
                <w:rFonts w:ascii="Calibri" w:cs="Calibri" w:eastAsia="Calibri" w:hAnsi="Calibri"/>
                <w:b/>
                <w:bCs/>
                <w:color w:val="D4AF37"/>
                <w:sz w:val="20"/>
                <w:szCs w:val="20"/>
              </w:rPr>
              <w:t xml:space="preserve">Target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Revenue recognition memo completion rate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100% for contracts &gt; [threshold]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Post-close revenue adjustments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&lt; 0.5% of total revenue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Audit adjustments related to revenue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Zero material adjustments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SSP analysis currency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Updated within last 6 months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Training completion rate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100% annually for all in-scope personnel</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9. Related Policies &amp; References</w:t>
      </w:r>
    </w:p>
    <w:p>
      <w:pPr>
        <w:pStyle w:val="Heading2"/>
        <w:spacing w:after="150" w:before="300"/>
      </w:pPr>
      <w:r>
        <w:rPr>
          <w:rFonts w:ascii="Georgia" w:cs="Georgia" w:eastAsia="Georgia" w:hAnsi="Georgia"/>
          <w:b/>
          <w:bCs/>
          <w:color w:val="333333"/>
          <w:sz w:val="26"/>
          <w:szCs w:val="26"/>
        </w:rPr>
        <w:t xml:space="preserve">9.1 Related Internal Policies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Close &amp; Reporting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Accounts Receivable &amp; Credit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Revenue Operations &amp; Billing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Delegation of Authority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Internal Controls &amp; SOX Compliance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Contract Authority &amp; Execution Policy</w:t>
      </w:r>
    </w:p>
    <w:p>
      <w:pPr>
        <w:pStyle w:val="Heading2"/>
        <w:spacing w:after="150" w:before="300"/>
      </w:pPr>
      <w:r>
        <w:rPr>
          <w:rFonts w:ascii="Georgia" w:cs="Georgia" w:eastAsia="Georgia" w:hAnsi="Georgia"/>
          <w:b/>
          <w:bCs/>
          <w:color w:val="333333"/>
          <w:sz w:val="26"/>
          <w:szCs w:val="26"/>
        </w:rPr>
        <w:t xml:space="preserve">9.2 External References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606, Revenue from Contracts with Customers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340-40, Other Assets and Deferred Costs — Contracts with Customers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610-20, Other Income — Gains and Losses from Derecognition of Nonfinancial Assets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SEC Staff Accounting Bulletin No. 104 (legacy guidance, superseded but informative)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AICPA Revenue Recognition Audit Guide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Company-specific revenue recognition implementation guide (if applicable)</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10. Appendices</w:t>
      </w:r>
    </w:p>
    <w:p>
      <w:pPr>
        <w:pStyle w:val="Heading2"/>
        <w:spacing w:after="150" w:before="300"/>
      </w:pPr>
      <w:r>
        <w:rPr>
          <w:rFonts w:ascii="Georgia" w:cs="Georgia" w:eastAsia="Georgia" w:hAnsi="Georgia"/>
          <w:b/>
          <w:bCs/>
          <w:color w:val="333333"/>
          <w:sz w:val="26"/>
          <w:szCs w:val="26"/>
        </w:rPr>
        <w:t xml:space="preserve">Appendix A — Revenue Recognition Memo Template</w:t>
      </w:r>
    </w:p>
    <w:p>
      <w:pPr>
        <w:spacing w:after="150" w:before="0"/>
        <w:jc w:val="both"/>
      </w:pPr>
      <w:r>
        <w:rPr>
          <w:rFonts w:ascii="Calibri" w:cs="Calibri" w:eastAsia="Calibri" w:hAnsi="Calibri"/>
          <w:color w:val="333333"/>
          <w:sz w:val="22"/>
          <w:szCs w:val="22"/>
        </w:rPr>
        <w:t xml:space="preserve">The following template shall be completed for all arrangements exceeding [threshold amount] or involving non-standard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Field</w:t>
            </w:r>
          </w:p>
        </w:tc>
        <w:tc>
          <w:tcPr>
            <w:tcW w:type="dxa" w:w="6160"/>
            <w:shd w:fill="0C0C0C" w:val="clear"/>
          </w:tcPr>
          <w:p>
            <w:pPr>
              <w:spacing w:after="60" w:before="60"/>
            </w:pPr>
            <w:r>
              <w:rPr>
                <w:rFonts w:ascii="Calibri" w:cs="Calibri" w:eastAsia="Calibri" w:hAnsi="Calibri"/>
                <w:b/>
                <w:bCs/>
                <w:color w:val="D4AF37"/>
                <w:sz w:val="20"/>
                <w:szCs w:val="20"/>
              </w:rPr>
              <w:t xml:space="preserve">Description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Contract Reference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[Contract number, customer name, date]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Prepared By / Date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[Name, date]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Reviewed By / Date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[Name, date]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Step 1: Contract Existence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[Document how all five criteria are met]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Step 2: Performance Obligations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[List each PO, distinct analysis]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Step 3: Transaction Price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[Fixed, variable, constraint analysis]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Step 4: Allocation</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[SSP by PO, allocation calculation]</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Step 5: Recognition Pattern</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[Over time / point in time, measure of progress]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Key Judgments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[Document significant judgments and rationale]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Conclusion</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[Accounting treatment summary with journal entries]</w:t>
            </w:r>
          </w:p>
        </w:tc>
      </w:tr>
    </w:tbl>
    <w:p>
      <w:pPr>
        <w:pStyle w:val="Heading2"/>
        <w:spacing w:after="150" w:before="300"/>
      </w:pPr>
      <w:r>
        <w:rPr>
          <w:rFonts w:ascii="Georgia" w:cs="Georgia" w:eastAsia="Georgia" w:hAnsi="Georgia"/>
          <w:b/>
          <w:bCs/>
          <w:color w:val="333333"/>
          <w:sz w:val="26"/>
          <w:szCs w:val="26"/>
        </w:rPr>
        <w:t xml:space="preserve">Appendix B — Contract Review Checklist</w:t>
      </w:r>
    </w:p>
    <w:p>
      <w:pPr>
        <w:spacing w:after="150" w:before="0"/>
        <w:jc w:val="both"/>
      </w:pPr>
      <w:r>
        <w:rPr>
          <w:rFonts w:ascii="Calibri" w:cs="Calibri" w:eastAsia="Calibri" w:hAnsi="Calibri"/>
          <w:color w:val="333333"/>
          <w:sz w:val="22"/>
          <w:szCs w:val="22"/>
        </w:rPr>
        <w:t xml:space="preserve">Sales and Legal shall use the following checklist before executing customer contracts: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pricing terms are clearly stated (no ambiguity in amounts or rates)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Payment terms are specified (due dates, milestones, advance payments)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Deliverables are clearly defined with acceptance criteria</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Modification and termination provisions are included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No side letters or verbal amendments exist outside the written agreement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Contract has been reviewed by finance for revenue recognition impact (if &gt; [threshold])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Customer credit assessment has been completed</w:t>
      </w:r>
    </w:p>
    <w:p>
      <w:pPr>
        <w:pStyle w:val="Heading2"/>
        <w:spacing w:after="150" w:before="300"/>
      </w:pPr>
      <w:r>
        <w:rPr>
          <w:rFonts w:ascii="Georgia" w:cs="Georgia" w:eastAsia="Georgia" w:hAnsi="Georgia"/>
          <w:b/>
          <w:bCs/>
          <w:color w:val="333333"/>
          <w:sz w:val="26"/>
          <w:szCs w:val="26"/>
        </w:rPr>
        <w:t xml:space="preserve">Appendix C — SSP Hierarchy Decision Tree</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Is there an observable standalone selling price? → Use observable price</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If no observable price: Can market assessment be performed? → Use adjusted market assessment</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If market assessment is impractical: Can expected cost plus margin be calculated? → Use cost plus margin</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If SSP is highly variable or uncertain: Is another PO's SSP observable? → Use residual approach</w:t>
      </w:r>
    </w:p>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The residual approach may only be used for one performance obligation in a multi-element arrangement, and only when combined with observable SSPs for the remaining obligations.</w:t>
      </w:r>
    </w:p>
    <w:p>
      <w:pPr>
        <w:pStyle w:val="Heading2"/>
        <w:spacing w:after="150" w:before="300"/>
      </w:pPr>
      <w:r>
        <w:rPr>
          <w:rFonts w:ascii="Georgia" w:cs="Georgia" w:eastAsia="Georgia" w:hAnsi="Georgia"/>
          <w:b/>
          <w:bCs/>
          <w:color w:val="333333"/>
          <w:sz w:val="26"/>
          <w:szCs w:val="26"/>
        </w:rPr>
        <w:t xml:space="preserve">Appendix D — Common Revenue Scenarios</w:t>
      </w:r>
    </w:p>
    <w:p>
      <w:pPr>
        <w:pStyle w:val="Heading3"/>
        <w:spacing w:after="100" w:before="200"/>
      </w:pPr>
      <w:r>
        <w:rPr>
          <w:rFonts w:ascii="Georgia" w:cs="Georgia" w:eastAsia="Georgia" w:hAnsi="Georgia"/>
          <w:b/>
          <w:bCs/>
          <w:color w:val="444444"/>
          <w:sz w:val="22"/>
          <w:szCs w:val="22"/>
        </w:rPr>
        <w:t xml:space="preserve">Scenario 1: Multi-Year Subscription with Implementation</w:t>
      </w:r>
    </w:p>
    <w:p>
      <w:pPr>
        <w:spacing w:after="150" w:before="0"/>
        <w:jc w:val="both"/>
      </w:pPr>
      <w:r>
        <w:rPr>
          <w:rFonts w:ascii="Calibri" w:cs="Calibri" w:eastAsia="Calibri" w:hAnsi="Calibri"/>
          <w:color w:val="333333"/>
          <w:sz w:val="22"/>
          <w:szCs w:val="22"/>
        </w:rPr>
        <w:t xml:space="preserve">[Company Name] sells a 3-year SaaS subscription with implementation services. Implementation is determined to be distinct because the customer could engage a third party. The arrangement has two POs: implementation (recognized over time as services are performed) and subscription (recognized ratably over the subscription term). Transaction price is allocated based on relative SSP.</w:t>
      </w:r>
    </w:p>
    <w:p>
      <w:pPr>
        <w:pStyle w:val="Heading3"/>
        <w:spacing w:after="100" w:before="200"/>
      </w:pPr>
      <w:r>
        <w:rPr>
          <w:rFonts w:ascii="Georgia" w:cs="Georgia" w:eastAsia="Georgia" w:hAnsi="Georgia"/>
          <w:b/>
          <w:bCs/>
          <w:color w:val="444444"/>
          <w:sz w:val="22"/>
          <w:szCs w:val="22"/>
        </w:rPr>
        <w:t xml:space="preserve">Scenario 2: Product Sale with Right of Return</w:t>
      </w:r>
    </w:p>
    <w:p>
      <w:pPr>
        <w:spacing w:after="150" w:before="0"/>
        <w:jc w:val="both"/>
      </w:pPr>
      <w:r>
        <w:rPr>
          <w:rFonts w:ascii="Calibri" w:cs="Calibri" w:eastAsia="Calibri" w:hAnsi="Calibri"/>
          <w:color w:val="333333"/>
          <w:sz w:val="22"/>
          <w:szCs w:val="22"/>
        </w:rPr>
        <w:t xml:space="preserve">[Company Name] sells physical products with a 30-day return policy. Revenue is recognized at the point of control transfer (typically shipment or delivery), reduced by the estimated return amount based on historical return rates. A refund liability and a right-of-return asset (for the cost of returned inventory) are recorded.</w:t>
      </w:r>
    </w:p>
    <w:p>
      <w:pPr>
        <w:pStyle w:val="Heading3"/>
        <w:spacing w:after="100" w:before="200"/>
      </w:pPr>
      <w:r>
        <w:rPr>
          <w:rFonts w:ascii="Georgia" w:cs="Georgia" w:eastAsia="Georgia" w:hAnsi="Georgia"/>
          <w:b/>
          <w:bCs/>
          <w:color w:val="444444"/>
          <w:sz w:val="22"/>
          <w:szCs w:val="22"/>
        </w:rPr>
        <w:t xml:space="preserve">Scenario 3: Fixed-Price Service Contract</w:t>
      </w:r>
    </w:p>
    <w:p>
      <w:pPr>
        <w:spacing w:after="150" w:before="0"/>
        <w:jc w:val="both"/>
      </w:pPr>
      <w:r>
        <w:rPr>
          <w:rFonts w:ascii="Calibri" w:cs="Calibri" w:eastAsia="Calibri" w:hAnsi="Calibri"/>
          <w:color w:val="333333"/>
          <w:sz w:val="22"/>
          <w:szCs w:val="22"/>
        </w:rPr>
        <w:t xml:space="preserve">[Company Name] provides consulting services under a fixed-price contract. The company has an enforceable right to payment for performance to date and the work does not create an asset with alternative use. Revenue is recognized over time using the cost-to-cost input method.</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Version</w:t>
            </w:r>
          </w:p>
        </w:tc>
        <w:tc>
          <w:tcPr>
            <w:tcW w:type="dxa" w:w="2400"/>
            <w:shd w:fill="0C0C0C" w:val="clear"/>
          </w:tcPr>
          <w:p>
            <w:pPr>
              <w:spacing w:after="60" w:before="60"/>
            </w:pPr>
            <w:r>
              <w:rPr>
                <w:rFonts w:ascii="Calibri" w:cs="Calibri" w:eastAsia="Calibri" w:hAnsi="Calibri"/>
                <w:b/>
                <w:bCs/>
                <w:color w:val="D4AF37"/>
                <w:sz w:val="20"/>
                <w:szCs w:val="20"/>
              </w:rPr>
              <w:t xml:space="preserve">Date</w:t>
            </w:r>
          </w:p>
        </w:tc>
        <w:tc>
          <w:tcPr>
            <w:tcW w:type="dxa" w:w="4560"/>
            <w:shd w:fill="0C0C0C" w:val="clear"/>
          </w:tcPr>
          <w:p>
            <w:pPr>
              <w:spacing w:after="60" w:before="60"/>
            </w:pPr>
            <w:r>
              <w:rPr>
                <w:rFonts w:ascii="Calibri" w:cs="Calibri" w:eastAsia="Calibri" w:hAnsi="Calibri"/>
                <w:b/>
                <w:bCs/>
                <w:color w:val="D4AF37"/>
                <w:sz w:val="20"/>
                <w:szCs w:val="20"/>
              </w:rPr>
              <w:t xml:space="preserve">Description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1.0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[Effective Date]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Initial policy document</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bl>
    <w:p>
      <w:pPr>
        <w:spacing w:after="150" w:before="0"/>
        <w:jc w:val="both"/>
      </w:pPr>
      <w:r>
        <w:rPr>
          <w:rFonts w:ascii="Calibri" w:cs="Calibri" w:eastAsia="Calibri" w:hAnsi="Calibri"/>
          <w:color w:val="333333"/>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Name / Signature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Prepared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Reviewed By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Approved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[CFO Name], Chief Financial Officer</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2A2A" w:sz="2"/>
      </w:pBdr>
      <w:spacing w:before="100"/>
      <w:jc w:val="center"/>
    </w:pPr>
    <w:r>
      <w:rPr>
        <w:rFonts w:ascii="Calibri" w:cs="Calibri" w:eastAsia="Calibri" w:hAnsi="Calibri"/>
        <w:color w:val="9CA3AF"/>
        <w:sz w:val="16"/>
        <w:szCs w:val="16"/>
      </w:rPr>
      <w:t xml:space="preserve">Confidential — [Company Name]  |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of </w:t>
    </w:r>
    <w:r>
      <w:rPr>
        <w:rFonts w:ascii="Calibri" w:cs="Calibri" w:eastAsia="Calibri" w:hAnsi="Calibri"/>
        <w:color w:val="9CA3AF"/>
        <w:sz w:val="16"/>
        <w:szCs w:val="16"/>
      </w:rPr>
      <w:fldChar w:fldCharType="begin"/>
      <w:instrText xml:space="preserve">NUMPAGES</w:instrText>
      <w:fldChar w:fldCharType="separate"/>
      <w:fldChar w:fldCharType="end"/>
    </w:r>
    <w:r>
      <w:rPr>
        <w:rFonts w:ascii="Calibri" w:cs="Calibri" w:eastAsia="Calibri" w:hAnsi="Calibri"/>
        <w:color w:val="D4AF37"/>
        <w:sz w:val="16"/>
        <w:szCs w:val="16"/>
      </w:rPr>
      <w:t xml:space="preserve">  |  EFuturesCFO.com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9CA3AF"/>
        <w:sz w:val="16"/>
        <w:szCs w:val="16"/>
      </w:rPr>
      <w:t xml:space="preserve">[Company Name]</w:t>
    </w:r>
    <w:r>
      <w:rPr>
        <w:rFonts w:ascii="Calibri" w:cs="Calibri" w:eastAsia="Calibri" w:hAnsi="Calibri"/>
        <w:color w:val="9CA3AF"/>
        <w:sz w:val="16"/>
        <w:szCs w:val="16"/>
      </w:rPr>
      <w:t xml:space="preserve">  |  </w:t>
    </w:r>
    <w:r>
      <w:rPr>
        <w:rFonts w:ascii="Calibri" w:cs="Calibri" w:eastAsia="Calibri" w:hAnsi="Calibri"/>
        <w:i/>
        <w:iCs/>
        <w:color w:val="9CA3AF"/>
        <w:sz w:val="16"/>
        <w:szCs w:val="16"/>
      </w:rPr>
      <w:t xml:space="preserve">Revenue Recognition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Georgia" w:cs="Georgia" w:eastAsia="Georgia" w:hAnsi="Georgia"/>
      <w:b/>
      <w:bCs/>
      <w:color w:val="0C0C0C"/>
      <w:sz w:val="32"/>
      <w:szCs w:val="32"/>
    </w:rPr>
  </w:style>
  <w:style w:type="paragraph" w:styleId="Heading2">
    <w:name w:val="Heading 2"/>
    <w:basedOn w:val="Normal"/>
    <w:next w:val="Normal"/>
    <w:qFormat/>
    <w:rPr>
      <w:rFonts w:ascii="Georgia" w:cs="Georgia" w:eastAsia="Georgia" w:hAnsi="Georgia"/>
      <w:b/>
      <w:bCs/>
      <w:color w:val="333333"/>
      <w:sz w:val="26"/>
      <w:szCs w:val="26"/>
    </w:rPr>
  </w:style>
  <w:style w:type="paragraph" w:styleId="Heading3">
    <w:name w:val="Heading 3"/>
    <w:basedOn w:val="Normal"/>
    <w:next w:val="Normal"/>
    <w:qFormat/>
    <w:rPr>
      <w:rFonts w:ascii="Georgia" w:cs="Georgia" w:eastAsia="Georgia" w:hAnsi="Georgia"/>
      <w:b/>
      <w:bCs/>
      <w:color w:val="444444"/>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2026-07-13T04:48:49.936Z</dcterms:created>
  <dcterms:modified xsi:type="dcterms:W3CDTF">2026-07-13T04:48:49.948Z</dcterms:modified>
</cp:coreProperties>
</file>

<file path=docProps/custom.xml><?xml version="1.0" encoding="utf-8"?>
<Properties xmlns="http://schemas.openxmlformats.org/officeDocument/2006/custom-properties" xmlns:vt="http://schemas.openxmlformats.org/officeDocument/2006/docPropsVTypes"/>
</file>